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pacing w:lineRule="auto" w:line="276"/>
        <w:jc w:val="center"/>
        <w:rPr>
          <w:rFonts w:ascii="Arial" w:hAnsi="Arial" w:cs="Arial"/>
          <w:sz w:val="22"/>
          <w:szCs w:val="22"/>
        </w:rPr>
      </w:pPr>
      <w:r>
        <w:rPr>
          <w:rFonts w:cs="Arial" w:ascii="Arial" w:hAnsi="Arial"/>
          <w:sz w:val="22"/>
          <w:szCs w:val="22"/>
        </w:rPr>
      </w:r>
    </w:p>
    <w:p>
      <w:pPr>
        <w:pStyle w:val="Normal1"/>
        <w:spacing w:lineRule="auto" w:line="276"/>
        <w:jc w:val="center"/>
        <w:rPr>
          <w:rFonts w:ascii="Arial" w:hAnsi="Arial" w:cs="Arial"/>
          <w:sz w:val="22"/>
          <w:szCs w:val="22"/>
        </w:rPr>
      </w:pPr>
      <w:r>
        <w:rPr>
          <w:rFonts w:cs="Arial" w:ascii="Arial" w:hAnsi="Arial"/>
          <w:sz w:val="22"/>
          <w:szCs w:val="22"/>
        </w:rPr>
      </w:r>
    </w:p>
    <w:p>
      <w:pPr>
        <w:pStyle w:val="Normal1"/>
        <w:spacing w:lineRule="auto" w:line="276"/>
        <w:jc w:val="center"/>
        <w:rPr>
          <w:rFonts w:ascii="Arial" w:hAnsi="Arial" w:cs="Arial"/>
          <w:sz w:val="22"/>
          <w:szCs w:val="22"/>
        </w:rPr>
      </w:pPr>
      <w:r>
        <w:rPr>
          <w:rFonts w:cs="Arial" w:ascii="Arial" w:hAnsi="Arial"/>
          <w:sz w:val="22"/>
          <w:szCs w:val="22"/>
        </w:rPr>
      </w:r>
    </w:p>
    <w:p>
      <w:pPr>
        <w:pStyle w:val="Normal1"/>
        <w:spacing w:lineRule="auto" w:line="276"/>
        <w:jc w:val="both"/>
        <w:rPr>
          <w:rFonts w:ascii="Arial" w:hAnsi="Arial" w:cs="Arial"/>
          <w:i/>
          <w:i/>
          <w:iCs/>
          <w:sz w:val="22"/>
          <w:szCs w:val="22"/>
        </w:rPr>
      </w:pPr>
      <w:r>
        <w:rPr>
          <w:rFonts w:cs="Arial" w:ascii="Arial" w:hAnsi="Arial"/>
          <w:i/>
          <w:iCs/>
          <w:sz w:val="22"/>
          <w:szCs w:val="22"/>
        </w:rPr>
        <w:t>“</w:t>
      </w:r>
      <w:r>
        <w:rPr>
          <w:rFonts w:cs="Arial" w:ascii="Arial" w:hAnsi="Arial"/>
          <w:i/>
          <w:iCs/>
          <w:sz w:val="22"/>
          <w:szCs w:val="22"/>
        </w:rPr>
        <w:t xml:space="preserve">Por la cual se adopta el plazo fijado en el Decreto 134 de 2024 y en consecuencia se modifica el artículo 23 de la Resolución Conjunta 787 de 2023 ‘Por la cual se establecen y se adoptan los lineamientos generales para la implementación de la Regulación de las Actividades Artísticas en el Espacio Público, exentas del pago por aprovechamiento económico y se deja sin efectos la Resolución conjunta No. Idartes 1467 y SCRD 575 del 2 de noviembre de 2018 y la Resolución No. SCRD 634 del 15 de noviembre de 2019"' </w:t>
      </w:r>
      <w:bookmarkStart w:id="0" w:name="_Hlk169770018"/>
      <w:bookmarkEnd w:id="0"/>
    </w:p>
    <w:p>
      <w:pPr>
        <w:pStyle w:val="Normal1"/>
        <w:spacing w:lineRule="auto" w:line="276"/>
        <w:jc w:val="center"/>
        <w:rPr>
          <w:rFonts w:ascii="Arial" w:hAnsi="Arial" w:cs="Arial"/>
          <w:sz w:val="22"/>
          <w:szCs w:val="22"/>
        </w:rPr>
      </w:pPr>
      <w:r>
        <w:rPr>
          <w:rFonts w:cs="Arial" w:ascii="Arial" w:hAnsi="Arial"/>
          <w:sz w:val="22"/>
          <w:szCs w:val="22"/>
        </w:rPr>
      </w:r>
    </w:p>
    <w:p>
      <w:pPr>
        <w:pStyle w:val="Normal1"/>
        <w:spacing w:lineRule="auto" w:line="276"/>
        <w:jc w:val="center"/>
        <w:rPr>
          <w:rFonts w:ascii="Arial" w:hAnsi="Arial" w:eastAsia="Arial" w:cs="Arial"/>
          <w:b/>
          <w:b/>
          <w:sz w:val="22"/>
          <w:szCs w:val="22"/>
        </w:rPr>
      </w:pPr>
      <w:r>
        <w:rPr>
          <w:rFonts w:eastAsia="Arial" w:cs="Arial" w:ascii="Arial" w:hAnsi="Arial"/>
          <w:b/>
          <w:sz w:val="22"/>
          <w:szCs w:val="22"/>
        </w:rPr>
      </w:r>
    </w:p>
    <w:p>
      <w:pPr>
        <w:pStyle w:val="Normal1"/>
        <w:spacing w:lineRule="auto" w:line="276"/>
        <w:jc w:val="center"/>
        <w:rPr>
          <w:rFonts w:ascii="Arial" w:hAnsi="Arial" w:eastAsia="Arial" w:cs="Arial"/>
          <w:b/>
          <w:b/>
          <w:sz w:val="22"/>
          <w:szCs w:val="22"/>
        </w:rPr>
      </w:pPr>
      <w:r>
        <w:rPr>
          <w:rFonts w:eastAsia="Arial" w:cs="Arial" w:ascii="Arial" w:hAnsi="Arial"/>
          <w:b/>
          <w:sz w:val="22"/>
          <w:szCs w:val="22"/>
        </w:rPr>
        <w:t>EL SECRETARIO DE DESPACHO DE LA SECRETARÍA DISTRITAL DE CULTURA, RECREACIÓN Y DEPORTE</w:t>
      </w:r>
    </w:p>
    <w:p>
      <w:pPr>
        <w:pStyle w:val="Normal1"/>
        <w:spacing w:lineRule="auto" w:line="276"/>
        <w:jc w:val="both"/>
        <w:rPr>
          <w:rFonts w:ascii="Arial" w:hAnsi="Arial" w:eastAsia="Arial" w:cs="Arial"/>
          <w:sz w:val="22"/>
          <w:szCs w:val="22"/>
        </w:rPr>
      </w:pPr>
      <w:r>
        <w:rPr>
          <w:rFonts w:eastAsia="Arial" w:cs="Arial" w:ascii="Arial" w:hAnsi="Arial"/>
          <w:sz w:val="22"/>
          <w:szCs w:val="22"/>
        </w:rPr>
      </w:r>
    </w:p>
    <w:p>
      <w:pPr>
        <w:pStyle w:val="Normal1"/>
        <w:spacing w:lineRule="auto" w:line="276"/>
        <w:jc w:val="both"/>
        <w:rPr>
          <w:rFonts w:ascii="Arial" w:hAnsi="Arial" w:eastAsia="Arial" w:cs="Arial"/>
          <w:sz w:val="22"/>
          <w:szCs w:val="22"/>
        </w:rPr>
      </w:pPr>
      <w:r>
        <w:rPr>
          <w:rFonts w:eastAsia="Arial" w:cs="Arial" w:ascii="Arial" w:hAnsi="Arial"/>
          <w:sz w:val="22"/>
          <w:szCs w:val="22"/>
        </w:rPr>
        <w:t xml:space="preserve">En uso de sus facultades legales y en especial las conferidas por el Acuerdo Distrital 257 de 2006 y el Decreto Distrital 340 de 2020, modificado por el Decreto Distrital 401 de 2022 y el Decreto Distrital 493 de 2023. </w:t>
      </w:r>
    </w:p>
    <w:p>
      <w:pPr>
        <w:pStyle w:val="Normal1"/>
        <w:spacing w:lineRule="auto" w:line="276"/>
        <w:jc w:val="center"/>
        <w:rPr>
          <w:rFonts w:ascii="Arial" w:hAnsi="Arial" w:eastAsia="Arial" w:cs="Arial"/>
          <w:sz w:val="22"/>
          <w:szCs w:val="22"/>
        </w:rPr>
      </w:pPr>
      <w:r>
        <w:rPr>
          <w:rFonts w:eastAsia="Arial" w:cs="Arial" w:ascii="Arial" w:hAnsi="Arial"/>
          <w:sz w:val="22"/>
          <w:szCs w:val="22"/>
        </w:rPr>
      </w:r>
    </w:p>
    <w:p>
      <w:pPr>
        <w:pStyle w:val="Normal1"/>
        <w:widowControl w:val="false"/>
        <w:spacing w:lineRule="auto" w:line="276"/>
        <w:jc w:val="center"/>
        <w:rPr>
          <w:rFonts w:ascii="Arial" w:hAnsi="Arial" w:eastAsia="Arial" w:cs="Arial"/>
          <w:b/>
          <w:b/>
          <w:strike/>
          <w:sz w:val="22"/>
          <w:szCs w:val="22"/>
        </w:rPr>
      </w:pPr>
      <w:r>
        <w:rPr>
          <w:rFonts w:eastAsia="Arial" w:cs="Arial" w:ascii="Arial" w:hAnsi="Arial"/>
          <w:b/>
          <w:strike/>
          <w:sz w:val="22"/>
          <w:szCs w:val="22"/>
        </w:rPr>
      </w:r>
    </w:p>
    <w:p>
      <w:pPr>
        <w:pStyle w:val="Normal1"/>
        <w:widowControl w:val="false"/>
        <w:spacing w:lineRule="auto" w:line="276"/>
        <w:jc w:val="center"/>
        <w:rPr>
          <w:rFonts w:ascii="Arial" w:hAnsi="Arial" w:eastAsia="Arial" w:cs="Arial"/>
          <w:b/>
          <w:b/>
          <w:strike/>
          <w:sz w:val="22"/>
          <w:szCs w:val="22"/>
        </w:rPr>
      </w:pPr>
      <w:r>
        <w:rPr>
          <w:rFonts w:eastAsia="Arial" w:cs="Arial" w:ascii="Arial" w:hAnsi="Arial"/>
          <w:b/>
          <w:sz w:val="22"/>
          <w:szCs w:val="22"/>
        </w:rPr>
        <w:t>LA DIRECTORA GENERAL DEL INSTITUTO DISTRITAL DE LAS ARTES</w:t>
      </w:r>
    </w:p>
    <w:p>
      <w:pPr>
        <w:pStyle w:val="Normal1"/>
        <w:widowControl w:val="false"/>
        <w:spacing w:lineRule="auto" w:line="276"/>
        <w:jc w:val="center"/>
        <w:rPr>
          <w:rFonts w:ascii="Arial" w:hAnsi="Arial" w:eastAsia="Arial" w:cs="Arial"/>
          <w:sz w:val="22"/>
          <w:szCs w:val="22"/>
        </w:rPr>
      </w:pPr>
      <w:r>
        <w:rPr>
          <w:rFonts w:eastAsia="Arial" w:cs="Arial" w:ascii="Arial" w:hAnsi="Arial"/>
          <w:sz w:val="22"/>
          <w:szCs w:val="22"/>
        </w:rPr>
      </w:r>
    </w:p>
    <w:p>
      <w:pPr>
        <w:pStyle w:val="Normal1"/>
        <w:widowControl w:val="false"/>
        <w:spacing w:lineRule="auto" w:line="276"/>
        <w:jc w:val="both"/>
        <w:rPr>
          <w:rFonts w:ascii="Arial" w:hAnsi="Arial" w:eastAsia="Arial" w:cs="Arial"/>
          <w:sz w:val="22"/>
          <w:szCs w:val="22"/>
        </w:rPr>
      </w:pPr>
      <w:r>
        <w:rPr>
          <w:rFonts w:eastAsia="Arial" w:cs="Arial" w:ascii="Arial" w:hAnsi="Arial"/>
          <w:sz w:val="22"/>
          <w:szCs w:val="22"/>
        </w:rPr>
        <w:t>En uso de sus facultades legales y en las conferidas por el Acuerdo del Concejo Distrital No. 440 de 2010, el Acuerdo No. 5 del 24 de septiembre de 2021 del Consejo Directivo del Idartes, el Decreto Distrital 341 de 2022, el Decreto Distrital 493 de 2023 , el Decreto Distrital 044 de 2024 y</w:t>
      </w:r>
    </w:p>
    <w:p>
      <w:pPr>
        <w:pStyle w:val="Normal1"/>
        <w:spacing w:lineRule="auto" w:line="276"/>
        <w:jc w:val="center"/>
        <w:rPr>
          <w:rFonts w:ascii="Arial" w:hAnsi="Arial" w:eastAsia="Arial" w:cs="Arial"/>
          <w:sz w:val="22"/>
          <w:szCs w:val="22"/>
        </w:rPr>
      </w:pPr>
      <w:r>
        <w:rPr>
          <w:rFonts w:eastAsia="Arial" w:cs="Arial" w:ascii="Arial" w:hAnsi="Arial"/>
          <w:sz w:val="22"/>
          <w:szCs w:val="22"/>
        </w:rPr>
      </w:r>
    </w:p>
    <w:p>
      <w:pPr>
        <w:pStyle w:val="Normal1"/>
        <w:spacing w:lineRule="auto" w:line="276"/>
        <w:jc w:val="center"/>
        <w:rPr>
          <w:rFonts w:ascii="Arial" w:hAnsi="Arial" w:eastAsia="Arial" w:cs="Arial"/>
          <w:sz w:val="22"/>
          <w:szCs w:val="22"/>
        </w:rPr>
      </w:pPr>
      <w:r>
        <w:rPr>
          <w:rFonts w:eastAsia="Arial" w:cs="Arial" w:ascii="Arial" w:hAnsi="Arial"/>
          <w:sz w:val="22"/>
          <w:szCs w:val="22"/>
        </w:rPr>
      </w:r>
    </w:p>
    <w:p>
      <w:pPr>
        <w:pStyle w:val="Normal1"/>
        <w:spacing w:lineRule="auto" w:line="276"/>
        <w:jc w:val="center"/>
        <w:rPr>
          <w:rFonts w:ascii="Arial" w:hAnsi="Arial" w:eastAsia="Arial" w:cs="Arial"/>
          <w:b/>
          <w:b/>
          <w:sz w:val="22"/>
          <w:szCs w:val="22"/>
        </w:rPr>
      </w:pPr>
      <w:r>
        <w:rPr>
          <w:rFonts w:eastAsia="Arial" w:cs="Arial" w:ascii="Arial" w:hAnsi="Arial"/>
          <w:b/>
          <w:sz w:val="22"/>
          <w:szCs w:val="22"/>
        </w:rPr>
        <w:t>CONSIDERANDO</w:t>
      </w:r>
    </w:p>
    <w:p>
      <w:pPr>
        <w:pStyle w:val="Normal1"/>
        <w:spacing w:lineRule="auto" w:line="276"/>
        <w:jc w:val="both"/>
        <w:rPr>
          <w:rFonts w:ascii="Arial" w:hAnsi="Arial" w:eastAsia="Arial" w:cs="Arial"/>
          <w:sz w:val="22"/>
          <w:szCs w:val="22"/>
        </w:rPr>
      </w:pPr>
      <w:r>
        <w:rPr>
          <w:rFonts w:eastAsia="Arial" w:cs="Arial" w:ascii="Arial" w:hAnsi="Arial"/>
          <w:sz w:val="22"/>
          <w:szCs w:val="22"/>
        </w:rPr>
      </w:r>
    </w:p>
    <w:p>
      <w:pPr>
        <w:pStyle w:val="Normal1"/>
        <w:spacing w:lineRule="auto" w:line="276"/>
        <w:jc w:val="both"/>
        <w:rPr>
          <w:rFonts w:ascii="Arial" w:hAnsi="Arial" w:eastAsia="Arial" w:cs="Arial"/>
          <w:sz w:val="22"/>
          <w:szCs w:val="22"/>
        </w:rPr>
      </w:pPr>
      <w:r>
        <w:rPr>
          <w:rFonts w:eastAsia="Arial" w:cs="Arial" w:ascii="Arial" w:hAnsi="Arial"/>
          <w:sz w:val="22"/>
          <w:szCs w:val="22"/>
        </w:rPr>
        <w:t xml:space="preserve">Que la Secretaría Distrital de Cultura, Recreación y Deporte y el Instituto Distrital de las Artes expidieron la Resolución Conjunta 787 de 19 de octubre de 2023, </w:t>
      </w:r>
      <w:r>
        <w:rPr>
          <w:rFonts w:eastAsia="Arial" w:cs="Arial" w:ascii="Arial" w:hAnsi="Arial"/>
          <w:i/>
          <w:sz w:val="22"/>
          <w:szCs w:val="22"/>
        </w:rPr>
        <w:t>“Por la cual se establecen y se adoptan los lineamientos generales para la implementación de la Regulación de las Actividades Artísticas en el Espacio Público, exentas del pago por aprovechamiento económico y se deja sin efectos la Resolución conjunta No. Idartes 1467 y SCRD 575 del 2 de noviembre de 2018 y la Resolución No. SCRD 634 del 15 de noviembre de 2019</w:t>
      </w:r>
      <w:r>
        <w:rPr>
          <w:rFonts w:eastAsia="Arial" w:cs="Arial" w:ascii="Arial" w:hAnsi="Arial"/>
          <w:sz w:val="22"/>
          <w:szCs w:val="22"/>
        </w:rPr>
        <w:t xml:space="preserve">”. </w:t>
      </w:r>
    </w:p>
    <w:p>
      <w:pPr>
        <w:pStyle w:val="Normal1"/>
        <w:spacing w:lineRule="auto" w:line="276"/>
        <w:jc w:val="both"/>
        <w:rPr>
          <w:rFonts w:ascii="Arial" w:hAnsi="Arial" w:eastAsia="Arial" w:cs="Arial"/>
          <w:sz w:val="22"/>
          <w:szCs w:val="22"/>
        </w:rPr>
      </w:pPr>
      <w:r>
        <w:rPr>
          <w:rFonts w:eastAsia="Arial" w:cs="Arial" w:ascii="Arial" w:hAnsi="Arial"/>
          <w:sz w:val="22"/>
          <w:szCs w:val="22"/>
        </w:rPr>
      </w:r>
    </w:p>
    <w:p>
      <w:pPr>
        <w:pStyle w:val="Normal1"/>
        <w:spacing w:lineRule="auto" w:line="276"/>
        <w:jc w:val="both"/>
        <w:rPr>
          <w:rFonts w:ascii="Arial" w:hAnsi="Arial" w:eastAsia="Arial" w:cs="Arial"/>
          <w:sz w:val="22"/>
          <w:szCs w:val="22"/>
        </w:rPr>
      </w:pPr>
      <w:r>
        <w:rPr>
          <w:rFonts w:eastAsia="Arial" w:cs="Arial" w:ascii="Arial" w:hAnsi="Arial"/>
          <w:sz w:val="22"/>
          <w:szCs w:val="22"/>
        </w:rPr>
      </w:r>
    </w:p>
    <w:p>
      <w:pPr>
        <w:pStyle w:val="Normal1"/>
        <w:spacing w:lineRule="auto" w:line="276"/>
        <w:jc w:val="both"/>
        <w:rPr>
          <w:rFonts w:ascii="Arial" w:hAnsi="Arial" w:eastAsia="Arial" w:cs="Arial"/>
          <w:sz w:val="22"/>
          <w:szCs w:val="22"/>
        </w:rPr>
      </w:pPr>
      <w:r>
        <w:rPr>
          <w:rFonts w:eastAsia="Arial" w:cs="Arial" w:ascii="Arial" w:hAnsi="Arial"/>
          <w:sz w:val="22"/>
          <w:szCs w:val="22"/>
        </w:rPr>
        <w:t>Que en el artículo 20 de la Resolución 787 de 2023, se indicaron las funciones de las entidades gestoras de la siguiente manera:</w:t>
      </w:r>
    </w:p>
    <w:p>
      <w:pPr>
        <w:pStyle w:val="Normal1"/>
        <w:widowControl w:val="false"/>
        <w:spacing w:lineRule="auto" w:line="276"/>
        <w:jc w:val="both"/>
        <w:rPr>
          <w:rFonts w:ascii="Arial" w:hAnsi="Arial" w:eastAsia="Arial" w:cs="Arial"/>
          <w:sz w:val="22"/>
          <w:szCs w:val="22"/>
        </w:rPr>
      </w:pPr>
      <w:r>
        <w:rPr>
          <w:rFonts w:eastAsia="Arial" w:cs="Arial" w:ascii="Arial" w:hAnsi="Arial"/>
          <w:sz w:val="22"/>
          <w:szCs w:val="22"/>
        </w:rPr>
      </w:r>
    </w:p>
    <w:tbl>
      <w:tblPr>
        <w:tblW w:w="8790" w:type="dxa"/>
        <w:jc w:val="left"/>
        <w:tblInd w:w="2" w:type="dxa"/>
        <w:tblCellMar>
          <w:top w:w="0" w:type="dxa"/>
          <w:left w:w="108" w:type="dxa"/>
          <w:bottom w:w="0" w:type="dxa"/>
          <w:right w:w="108" w:type="dxa"/>
        </w:tblCellMar>
        <w:tblLook w:firstRow="0" w:noVBand="1" w:lastRow="0" w:firstColumn="0" w:lastColumn="0" w:noHBand="1" w:val="0600"/>
      </w:tblPr>
      <w:tblGrid>
        <w:gridCol w:w="2460"/>
        <w:gridCol w:w="6329"/>
      </w:tblGrid>
      <w:tr>
        <w:trPr/>
        <w:tc>
          <w:tcPr>
            <w:tcW w:w="2460" w:type="dxa"/>
            <w:tcBorders>
              <w:top w:val="single" w:sz="8" w:space="0" w:color="000000"/>
              <w:left w:val="single" w:sz="8" w:space="0" w:color="000000"/>
              <w:bottom w:val="single" w:sz="8" w:space="0" w:color="000000"/>
              <w:right w:val="single" w:sz="8" w:space="0" w:color="000000"/>
            </w:tcBorders>
            <w:shd w:color="auto" w:fill="auto" w:val="clear"/>
          </w:tcPr>
          <w:p>
            <w:pPr>
              <w:pStyle w:val="Normal1"/>
              <w:widowControl w:val="false"/>
              <w:spacing w:lineRule="auto" w:line="276"/>
              <w:jc w:val="center"/>
              <w:rPr>
                <w:rFonts w:ascii="Arial" w:hAnsi="Arial" w:cs="Arial"/>
                <w:b/>
                <w:b/>
                <w:bCs/>
                <w:sz w:val="22"/>
                <w:szCs w:val="22"/>
              </w:rPr>
            </w:pPr>
            <w:r>
              <w:rPr>
                <w:rFonts w:eastAsia="Arial" w:cs="Arial" w:ascii="Arial" w:hAnsi="Arial"/>
                <w:b/>
                <w:bCs/>
                <w:sz w:val="22"/>
                <w:szCs w:val="22"/>
              </w:rPr>
              <w:t>Entidad</w:t>
            </w:r>
          </w:p>
        </w:tc>
        <w:tc>
          <w:tcPr>
            <w:tcW w:w="6329" w:type="dxa"/>
            <w:tcBorders>
              <w:top w:val="single" w:sz="8" w:space="0" w:color="000000"/>
              <w:left w:val="single" w:sz="8" w:space="0" w:color="000000"/>
              <w:bottom w:val="single" w:sz="8" w:space="0" w:color="000000"/>
              <w:right w:val="single" w:sz="8" w:space="0" w:color="000000"/>
            </w:tcBorders>
            <w:shd w:color="auto" w:fill="auto" w:val="clear"/>
          </w:tcPr>
          <w:p>
            <w:pPr>
              <w:pStyle w:val="Normal1"/>
              <w:widowControl w:val="false"/>
              <w:spacing w:lineRule="auto" w:line="276"/>
              <w:jc w:val="center"/>
              <w:rPr>
                <w:rFonts w:ascii="Arial" w:hAnsi="Arial" w:cs="Arial"/>
                <w:b/>
                <w:b/>
                <w:bCs/>
                <w:sz w:val="22"/>
                <w:szCs w:val="22"/>
              </w:rPr>
            </w:pPr>
            <w:r>
              <w:rPr>
                <w:rFonts w:eastAsia="Arial" w:cs="Arial" w:ascii="Arial" w:hAnsi="Arial"/>
                <w:b/>
                <w:bCs/>
                <w:sz w:val="22"/>
                <w:szCs w:val="22"/>
              </w:rPr>
              <w:t>Funciones</w:t>
            </w:r>
          </w:p>
        </w:tc>
      </w:tr>
      <w:tr>
        <w:trPr/>
        <w:tc>
          <w:tcPr>
            <w:tcW w:w="2460" w:type="dxa"/>
            <w:tcBorders>
              <w:top w:val="single" w:sz="8" w:space="0" w:color="000000"/>
              <w:left w:val="single" w:sz="8" w:space="0" w:color="000000"/>
              <w:bottom w:val="single" w:sz="8" w:space="0" w:color="000000"/>
              <w:right w:val="single" w:sz="8" w:space="0" w:color="000000"/>
            </w:tcBorders>
            <w:shd w:color="auto" w:fill="auto" w:val="clear"/>
          </w:tcPr>
          <w:p>
            <w:pPr>
              <w:pStyle w:val="Normal1"/>
              <w:widowControl w:val="false"/>
              <w:spacing w:lineRule="auto" w:line="276"/>
              <w:rPr>
                <w:rFonts w:ascii="Arial" w:hAnsi="Arial" w:eastAsia="Arial" w:cs="Arial"/>
                <w:sz w:val="22"/>
                <w:szCs w:val="22"/>
              </w:rPr>
            </w:pPr>
            <w:r>
              <w:rPr>
                <w:rFonts w:eastAsia="Arial" w:cs="Arial" w:ascii="Arial" w:hAnsi="Arial"/>
                <w:sz w:val="22"/>
                <w:szCs w:val="22"/>
              </w:rPr>
              <w:t>Secretaría Distrital de Cultura, Recreación y Deporte -SCRD-</w:t>
            </w:r>
          </w:p>
        </w:tc>
        <w:tc>
          <w:tcPr>
            <w:tcW w:w="6329" w:type="dxa"/>
            <w:tcBorders>
              <w:top w:val="single" w:sz="8" w:space="0" w:color="000000"/>
              <w:left w:val="single" w:sz="8" w:space="0" w:color="000000"/>
              <w:bottom w:val="single" w:sz="8" w:space="0" w:color="000000"/>
              <w:right w:val="single" w:sz="8" w:space="0" w:color="000000"/>
            </w:tcBorders>
            <w:shd w:color="auto" w:fill="auto" w:val="clear"/>
          </w:tcPr>
          <w:p>
            <w:pPr>
              <w:pStyle w:val="Normal1"/>
              <w:widowControl w:val="false"/>
              <w:spacing w:lineRule="auto" w:line="276"/>
              <w:rPr>
                <w:rFonts w:ascii="Arial" w:hAnsi="Arial" w:eastAsia="Arial" w:cs="Arial"/>
                <w:sz w:val="22"/>
                <w:szCs w:val="22"/>
              </w:rPr>
            </w:pPr>
            <w:r>
              <w:rPr>
                <w:rFonts w:eastAsia="Arial" w:cs="Arial" w:ascii="Arial" w:hAnsi="Arial"/>
                <w:sz w:val="22"/>
                <w:szCs w:val="22"/>
              </w:rPr>
              <w:t xml:space="preserve">- Adoptar, promover e implementar las políticas, programas, y medidas encaminadas a cumplir los lineamientos de la RAAEP. </w:t>
            </w:r>
          </w:p>
          <w:p>
            <w:pPr>
              <w:pStyle w:val="Normal1"/>
              <w:widowControl w:val="false"/>
              <w:spacing w:lineRule="auto" w:line="276"/>
              <w:rPr>
                <w:rFonts w:ascii="Arial" w:hAnsi="Arial" w:eastAsia="Arial" w:cs="Arial"/>
                <w:sz w:val="22"/>
                <w:szCs w:val="22"/>
              </w:rPr>
            </w:pPr>
            <w:r>
              <w:rPr>
                <w:rFonts w:eastAsia="Arial" w:cs="Arial" w:ascii="Arial" w:hAnsi="Arial"/>
                <w:sz w:val="22"/>
                <w:szCs w:val="22"/>
              </w:rPr>
            </w:r>
          </w:p>
          <w:p>
            <w:pPr>
              <w:pStyle w:val="Normal1"/>
              <w:widowControl w:val="false"/>
              <w:spacing w:lineRule="auto" w:line="276"/>
              <w:rPr>
                <w:rFonts w:ascii="Arial" w:hAnsi="Arial" w:eastAsia="Arial" w:cs="Arial"/>
                <w:sz w:val="22"/>
                <w:szCs w:val="22"/>
              </w:rPr>
            </w:pPr>
            <w:r>
              <w:rPr>
                <w:rFonts w:eastAsia="Arial" w:cs="Arial" w:ascii="Arial" w:hAnsi="Arial"/>
                <w:sz w:val="22"/>
                <w:szCs w:val="22"/>
              </w:rPr>
              <w:t>- Gestionar con el administrador del espacio público el concepto aprobatorio para la apertura de zonas para la implementación de la regulación.</w:t>
            </w:r>
          </w:p>
          <w:p>
            <w:pPr>
              <w:pStyle w:val="Normal1"/>
              <w:widowControl w:val="false"/>
              <w:spacing w:lineRule="auto" w:line="276"/>
              <w:rPr>
                <w:rFonts w:ascii="Arial" w:hAnsi="Arial" w:eastAsia="Arial" w:cs="Arial"/>
                <w:sz w:val="22"/>
                <w:szCs w:val="22"/>
              </w:rPr>
            </w:pPr>
            <w:r>
              <w:rPr>
                <w:rFonts w:eastAsia="Arial" w:cs="Arial" w:ascii="Arial" w:hAnsi="Arial"/>
                <w:sz w:val="22"/>
                <w:szCs w:val="22"/>
              </w:rPr>
            </w:r>
          </w:p>
          <w:p>
            <w:pPr>
              <w:pStyle w:val="Normal1"/>
              <w:widowControl w:val="false"/>
              <w:spacing w:lineRule="auto" w:line="276"/>
              <w:rPr>
                <w:rFonts w:ascii="Arial" w:hAnsi="Arial" w:eastAsia="Arial" w:cs="Arial"/>
                <w:sz w:val="22"/>
                <w:szCs w:val="22"/>
              </w:rPr>
            </w:pPr>
            <w:r>
              <w:rPr>
                <w:rFonts w:eastAsia="Arial" w:cs="Arial" w:ascii="Arial" w:hAnsi="Arial"/>
                <w:sz w:val="22"/>
                <w:szCs w:val="22"/>
              </w:rPr>
              <w:t>- Gestionar frente a la Comisión Intersectorial del Espacio Público - CIEP, o quien haga sus veces, las solicitudes y autorizaciones para la  RAAEP.</w:t>
            </w:r>
          </w:p>
          <w:p>
            <w:pPr>
              <w:pStyle w:val="Normal1"/>
              <w:widowControl w:val="false"/>
              <w:spacing w:lineRule="auto" w:line="276"/>
              <w:rPr>
                <w:rFonts w:ascii="Arial" w:hAnsi="Arial" w:eastAsia="Arial" w:cs="Arial"/>
                <w:sz w:val="22"/>
                <w:szCs w:val="22"/>
              </w:rPr>
            </w:pPr>
            <w:r>
              <w:rPr>
                <w:rFonts w:eastAsia="Arial" w:cs="Arial" w:ascii="Arial" w:hAnsi="Arial"/>
                <w:sz w:val="22"/>
                <w:szCs w:val="22"/>
              </w:rPr>
            </w:r>
          </w:p>
          <w:p>
            <w:pPr>
              <w:pStyle w:val="Normal1"/>
              <w:widowControl w:val="false"/>
              <w:spacing w:lineRule="auto" w:line="276"/>
              <w:rPr>
                <w:rFonts w:ascii="Arial" w:hAnsi="Arial" w:eastAsia="Arial" w:cs="Arial"/>
                <w:sz w:val="22"/>
                <w:szCs w:val="22"/>
              </w:rPr>
            </w:pPr>
            <w:r>
              <w:rPr>
                <w:rFonts w:eastAsia="Arial" w:cs="Arial" w:ascii="Arial" w:hAnsi="Arial"/>
                <w:sz w:val="22"/>
                <w:szCs w:val="22"/>
              </w:rPr>
              <w:t>- Formular e implementar junto al Instituto Distrital de las Artes - Idartes, el Plan de Manejo Específico para cada zona autorizada.</w:t>
            </w:r>
          </w:p>
          <w:p>
            <w:pPr>
              <w:pStyle w:val="Normal1"/>
              <w:widowControl w:val="false"/>
              <w:spacing w:lineRule="auto" w:line="276"/>
              <w:rPr>
                <w:rFonts w:ascii="Arial" w:hAnsi="Arial" w:eastAsia="Arial" w:cs="Arial"/>
                <w:sz w:val="22"/>
                <w:szCs w:val="22"/>
              </w:rPr>
            </w:pPr>
            <w:r>
              <w:rPr>
                <w:rFonts w:eastAsia="Arial" w:cs="Arial" w:ascii="Arial" w:hAnsi="Arial"/>
                <w:sz w:val="22"/>
                <w:szCs w:val="22"/>
              </w:rPr>
            </w:r>
          </w:p>
          <w:p>
            <w:pPr>
              <w:pStyle w:val="Normal1"/>
              <w:widowControl w:val="false"/>
              <w:spacing w:lineRule="auto" w:line="276"/>
              <w:rPr>
                <w:rFonts w:ascii="Arial" w:hAnsi="Arial" w:eastAsia="Arial" w:cs="Arial"/>
                <w:sz w:val="22"/>
                <w:szCs w:val="22"/>
              </w:rPr>
            </w:pPr>
            <w:r>
              <w:rPr>
                <w:rFonts w:eastAsia="Arial" w:cs="Arial" w:ascii="Arial" w:hAnsi="Arial"/>
                <w:sz w:val="22"/>
                <w:szCs w:val="22"/>
              </w:rPr>
              <w:t>- Definir el Plan de Manejo Específico de cada zona autorizada con los respectivos actores vinculados al espacio público (entidades administradoras, las alcaldías locales y autoridades policiales, entre otros).</w:t>
            </w:r>
          </w:p>
          <w:p>
            <w:pPr>
              <w:pStyle w:val="Normal1"/>
              <w:widowControl w:val="false"/>
              <w:spacing w:lineRule="auto" w:line="276"/>
              <w:rPr>
                <w:rFonts w:ascii="Arial" w:hAnsi="Arial" w:eastAsia="Arial" w:cs="Arial"/>
                <w:sz w:val="22"/>
                <w:szCs w:val="22"/>
              </w:rPr>
            </w:pPr>
            <w:r>
              <w:rPr>
                <w:rFonts w:eastAsia="Arial" w:cs="Arial" w:ascii="Arial" w:hAnsi="Arial"/>
                <w:sz w:val="22"/>
                <w:szCs w:val="22"/>
              </w:rPr>
            </w:r>
          </w:p>
          <w:p>
            <w:pPr>
              <w:pStyle w:val="Normal1"/>
              <w:widowControl w:val="false"/>
              <w:spacing w:lineRule="auto" w:line="276"/>
              <w:rPr>
                <w:rFonts w:ascii="Arial" w:hAnsi="Arial" w:eastAsia="Arial" w:cs="Arial"/>
                <w:sz w:val="22"/>
                <w:szCs w:val="22"/>
              </w:rPr>
            </w:pPr>
            <w:r>
              <w:rPr>
                <w:rFonts w:eastAsia="Arial" w:cs="Arial" w:ascii="Arial" w:hAnsi="Arial"/>
                <w:sz w:val="22"/>
                <w:szCs w:val="22"/>
              </w:rPr>
              <w:t>- Socializar los lineamientos de la regulación con los actores vinculados al proceso, incluidos los artistas del espacio público.</w:t>
            </w:r>
          </w:p>
          <w:p>
            <w:pPr>
              <w:pStyle w:val="Normal1"/>
              <w:widowControl w:val="false"/>
              <w:spacing w:lineRule="auto" w:line="276"/>
              <w:rPr>
                <w:rFonts w:ascii="Arial" w:hAnsi="Arial" w:eastAsia="Arial" w:cs="Arial"/>
                <w:sz w:val="22"/>
                <w:szCs w:val="22"/>
              </w:rPr>
            </w:pPr>
            <w:r>
              <w:rPr>
                <w:rFonts w:eastAsia="Arial" w:cs="Arial" w:ascii="Arial" w:hAnsi="Arial"/>
                <w:sz w:val="22"/>
                <w:szCs w:val="22"/>
              </w:rPr>
            </w:r>
          </w:p>
          <w:p>
            <w:pPr>
              <w:pStyle w:val="Normal1"/>
              <w:widowControl w:val="false"/>
              <w:spacing w:lineRule="auto" w:line="276"/>
              <w:rPr>
                <w:rFonts w:ascii="Arial" w:hAnsi="Arial" w:eastAsia="Arial" w:cs="Arial"/>
                <w:sz w:val="22"/>
                <w:szCs w:val="22"/>
              </w:rPr>
            </w:pPr>
            <w:r>
              <w:rPr>
                <w:rFonts w:eastAsia="Arial" w:cs="Arial" w:ascii="Arial" w:hAnsi="Arial"/>
                <w:sz w:val="22"/>
                <w:szCs w:val="22"/>
              </w:rPr>
              <w:t xml:space="preserve">- Realizar la evaluación semestral de la implementación de la regulación y presentar los resultados a la Comisión Intersectorial del Espacio Público - CIEP, o quien haga sus veces, en el marco de la Política Pública Distrital de Espacio Público. </w:t>
            </w:r>
          </w:p>
          <w:p>
            <w:pPr>
              <w:pStyle w:val="Normal1"/>
              <w:widowControl w:val="false"/>
              <w:spacing w:lineRule="auto" w:line="276"/>
              <w:rPr>
                <w:rFonts w:ascii="Arial" w:hAnsi="Arial" w:eastAsia="Arial" w:cs="Arial"/>
                <w:sz w:val="22"/>
                <w:szCs w:val="22"/>
              </w:rPr>
            </w:pPr>
            <w:r>
              <w:rPr>
                <w:rFonts w:eastAsia="Arial" w:cs="Arial" w:ascii="Arial" w:hAnsi="Arial"/>
                <w:sz w:val="22"/>
                <w:szCs w:val="22"/>
              </w:rPr>
            </w:r>
          </w:p>
          <w:p>
            <w:pPr>
              <w:pStyle w:val="Normal1"/>
              <w:widowControl w:val="false"/>
              <w:spacing w:lineRule="auto" w:line="276"/>
              <w:rPr>
                <w:rFonts w:ascii="Arial" w:hAnsi="Arial" w:eastAsia="Arial" w:cs="Arial"/>
                <w:sz w:val="22"/>
                <w:szCs w:val="22"/>
              </w:rPr>
            </w:pPr>
            <w:r>
              <w:rPr>
                <w:rFonts w:eastAsia="Arial" w:cs="Arial" w:ascii="Arial" w:hAnsi="Arial"/>
                <w:sz w:val="22"/>
                <w:szCs w:val="22"/>
              </w:rPr>
              <w:t>- Participar en los procesos de articulación interinstitucional en las zonas autorizadas que tienen relación con el espacio público.</w:t>
            </w:r>
          </w:p>
          <w:p>
            <w:pPr>
              <w:pStyle w:val="Normal1"/>
              <w:widowControl w:val="false"/>
              <w:spacing w:lineRule="auto" w:line="276"/>
              <w:rPr>
                <w:rFonts w:ascii="Arial" w:hAnsi="Arial" w:eastAsia="Arial" w:cs="Arial"/>
                <w:sz w:val="22"/>
                <w:szCs w:val="22"/>
              </w:rPr>
            </w:pPr>
            <w:r>
              <w:rPr>
                <w:rFonts w:eastAsia="Arial" w:cs="Arial" w:ascii="Arial" w:hAnsi="Arial"/>
                <w:sz w:val="22"/>
                <w:szCs w:val="22"/>
              </w:rPr>
            </w:r>
          </w:p>
          <w:p>
            <w:pPr>
              <w:pStyle w:val="Normal1"/>
              <w:widowControl w:val="false"/>
              <w:spacing w:lineRule="auto" w:line="276"/>
              <w:rPr>
                <w:rFonts w:ascii="Arial" w:hAnsi="Arial" w:eastAsia="Arial" w:cs="Arial"/>
                <w:sz w:val="22"/>
                <w:szCs w:val="22"/>
              </w:rPr>
            </w:pPr>
            <w:r>
              <w:rPr>
                <w:rFonts w:eastAsia="Arial" w:cs="Arial" w:ascii="Arial" w:hAnsi="Arial"/>
                <w:sz w:val="22"/>
                <w:szCs w:val="22"/>
              </w:rPr>
              <w:t xml:space="preserve">- Liderar junto con el Idartes, las acciones pedagógicas y de difusión de la RAAEP. </w:t>
            </w:r>
          </w:p>
          <w:p>
            <w:pPr>
              <w:pStyle w:val="Normal1"/>
              <w:widowControl w:val="false"/>
              <w:spacing w:lineRule="auto" w:line="276"/>
              <w:rPr>
                <w:rFonts w:ascii="Arial" w:hAnsi="Arial" w:eastAsia="Arial" w:cs="Arial"/>
                <w:sz w:val="22"/>
                <w:szCs w:val="22"/>
              </w:rPr>
            </w:pPr>
            <w:r>
              <w:rPr>
                <w:rFonts w:eastAsia="Arial" w:cs="Arial" w:ascii="Arial" w:hAnsi="Arial"/>
                <w:sz w:val="22"/>
                <w:szCs w:val="22"/>
              </w:rPr>
            </w:r>
          </w:p>
          <w:p>
            <w:pPr>
              <w:pStyle w:val="Normal1"/>
              <w:widowControl w:val="false"/>
              <w:spacing w:lineRule="auto" w:line="276"/>
              <w:rPr>
                <w:rFonts w:ascii="Arial" w:hAnsi="Arial" w:eastAsia="Arial" w:cs="Arial"/>
                <w:sz w:val="22"/>
                <w:szCs w:val="22"/>
              </w:rPr>
            </w:pPr>
            <w:r>
              <w:rPr>
                <w:rFonts w:eastAsia="Arial" w:cs="Arial" w:ascii="Arial" w:hAnsi="Arial"/>
                <w:sz w:val="22"/>
                <w:szCs w:val="22"/>
              </w:rPr>
              <w:t>- Brindar información a la ciudadanía sobre la RAAEP.</w:t>
            </w:r>
          </w:p>
        </w:tc>
      </w:tr>
      <w:tr>
        <w:trPr/>
        <w:tc>
          <w:tcPr>
            <w:tcW w:w="2460" w:type="dxa"/>
            <w:tcBorders>
              <w:top w:val="single" w:sz="8" w:space="0" w:color="000000"/>
              <w:left w:val="single" w:sz="8" w:space="0" w:color="000000"/>
              <w:bottom w:val="single" w:sz="8" w:space="0" w:color="000000"/>
              <w:right w:val="single" w:sz="8" w:space="0" w:color="000000"/>
            </w:tcBorders>
            <w:shd w:color="auto" w:fill="auto" w:val="clear"/>
          </w:tcPr>
          <w:p>
            <w:pPr>
              <w:pStyle w:val="Normal1"/>
              <w:widowControl w:val="false"/>
              <w:spacing w:lineRule="auto" w:line="276"/>
              <w:rPr>
                <w:rFonts w:ascii="Arial" w:hAnsi="Arial" w:eastAsia="Arial" w:cs="Arial"/>
                <w:sz w:val="22"/>
                <w:szCs w:val="22"/>
              </w:rPr>
            </w:pPr>
            <w:r>
              <w:rPr>
                <w:rFonts w:eastAsia="Arial" w:cs="Arial" w:ascii="Arial" w:hAnsi="Arial"/>
                <w:sz w:val="22"/>
                <w:szCs w:val="22"/>
              </w:rPr>
              <w:t>Instituto Distrital de las Artes -Idartes-</w:t>
            </w:r>
          </w:p>
        </w:tc>
        <w:tc>
          <w:tcPr>
            <w:tcW w:w="6329" w:type="dxa"/>
            <w:tcBorders>
              <w:top w:val="single" w:sz="8" w:space="0" w:color="000000"/>
              <w:left w:val="single" w:sz="8" w:space="0" w:color="000000"/>
              <w:bottom w:val="single" w:sz="8" w:space="0" w:color="000000"/>
              <w:right w:val="single" w:sz="8" w:space="0" w:color="000000"/>
            </w:tcBorders>
            <w:shd w:color="auto" w:fill="auto" w:val="clear"/>
          </w:tcPr>
          <w:p>
            <w:pPr>
              <w:pStyle w:val="Normal1"/>
              <w:widowControl w:val="false"/>
              <w:spacing w:lineRule="auto" w:line="276"/>
              <w:rPr>
                <w:rFonts w:ascii="Arial" w:hAnsi="Arial" w:eastAsia="Arial" w:cs="Arial"/>
                <w:sz w:val="22"/>
                <w:szCs w:val="22"/>
              </w:rPr>
            </w:pPr>
            <w:r>
              <w:rPr>
                <w:rFonts w:eastAsia="Arial" w:cs="Arial" w:ascii="Arial" w:hAnsi="Arial"/>
                <w:sz w:val="22"/>
                <w:szCs w:val="22"/>
              </w:rPr>
              <w:t>- Adelantar el proceso de registro, solicitud de permisos y verificación de los artistas que soliciten hacer parte de la Regulación.</w:t>
            </w:r>
          </w:p>
          <w:p>
            <w:pPr>
              <w:pStyle w:val="Normal1"/>
              <w:widowControl w:val="false"/>
              <w:spacing w:lineRule="auto" w:line="276"/>
              <w:rPr>
                <w:rFonts w:ascii="Arial" w:hAnsi="Arial" w:eastAsia="Arial" w:cs="Arial"/>
                <w:sz w:val="22"/>
                <w:szCs w:val="22"/>
              </w:rPr>
            </w:pPr>
            <w:r>
              <w:rPr>
                <w:rFonts w:eastAsia="Arial" w:cs="Arial" w:ascii="Arial" w:hAnsi="Arial"/>
                <w:sz w:val="22"/>
                <w:szCs w:val="22"/>
              </w:rPr>
            </w:r>
          </w:p>
          <w:p>
            <w:pPr>
              <w:pStyle w:val="Normal1"/>
              <w:widowControl w:val="false"/>
              <w:spacing w:lineRule="auto" w:line="276"/>
              <w:rPr>
                <w:rFonts w:ascii="Arial" w:hAnsi="Arial" w:eastAsia="Arial" w:cs="Arial"/>
                <w:sz w:val="22"/>
                <w:szCs w:val="22"/>
              </w:rPr>
            </w:pPr>
            <w:r>
              <w:rPr>
                <w:rFonts w:eastAsia="Arial" w:cs="Arial" w:ascii="Arial" w:hAnsi="Arial"/>
                <w:sz w:val="22"/>
                <w:szCs w:val="22"/>
              </w:rPr>
              <w:t xml:space="preserve">- Generar reportes para la evaluación semestral sobre la Regulación, resultantes de toda la información recopilada, tanto en campo como en la plataforma de registro y solicitud de permisos. </w:t>
            </w:r>
          </w:p>
          <w:p>
            <w:pPr>
              <w:pStyle w:val="Normal1"/>
              <w:widowControl w:val="false"/>
              <w:spacing w:lineRule="auto" w:line="276"/>
              <w:rPr>
                <w:rFonts w:ascii="Arial" w:hAnsi="Arial" w:eastAsia="Arial" w:cs="Arial"/>
                <w:sz w:val="22"/>
                <w:szCs w:val="22"/>
              </w:rPr>
            </w:pPr>
            <w:r>
              <w:rPr>
                <w:rFonts w:eastAsia="Arial" w:cs="Arial" w:ascii="Arial" w:hAnsi="Arial"/>
                <w:sz w:val="22"/>
                <w:szCs w:val="22"/>
              </w:rPr>
            </w:r>
          </w:p>
          <w:p>
            <w:pPr>
              <w:pStyle w:val="Normal1"/>
              <w:widowControl w:val="false"/>
              <w:spacing w:lineRule="auto" w:line="276"/>
              <w:rPr>
                <w:rFonts w:ascii="Arial" w:hAnsi="Arial" w:eastAsia="Arial" w:cs="Arial"/>
                <w:sz w:val="22"/>
                <w:szCs w:val="22"/>
              </w:rPr>
            </w:pPr>
            <w:r>
              <w:rPr>
                <w:rFonts w:eastAsia="Arial" w:cs="Arial" w:ascii="Arial" w:hAnsi="Arial"/>
                <w:sz w:val="22"/>
                <w:szCs w:val="22"/>
              </w:rPr>
              <w:t>- Acompañar en el diseño e implementar en campo los Planes de Manejo Específicos para cada zona autorizada.</w:t>
            </w:r>
          </w:p>
          <w:p>
            <w:pPr>
              <w:pStyle w:val="Normal1"/>
              <w:widowControl w:val="false"/>
              <w:spacing w:lineRule="auto" w:line="276"/>
              <w:rPr>
                <w:rFonts w:ascii="Arial" w:hAnsi="Arial" w:eastAsia="Arial" w:cs="Arial"/>
                <w:sz w:val="22"/>
                <w:szCs w:val="22"/>
              </w:rPr>
            </w:pPr>
            <w:r>
              <w:rPr>
                <w:rFonts w:eastAsia="Arial" w:cs="Arial" w:ascii="Arial" w:hAnsi="Arial"/>
                <w:sz w:val="22"/>
                <w:szCs w:val="22"/>
              </w:rPr>
            </w:r>
          </w:p>
          <w:p>
            <w:pPr>
              <w:pStyle w:val="Normal1"/>
              <w:widowControl w:val="false"/>
              <w:spacing w:lineRule="auto" w:line="276"/>
              <w:rPr>
                <w:rFonts w:ascii="Arial" w:hAnsi="Arial" w:eastAsia="Arial" w:cs="Arial"/>
                <w:sz w:val="22"/>
                <w:szCs w:val="22"/>
              </w:rPr>
            </w:pPr>
            <w:r>
              <w:rPr>
                <w:rFonts w:eastAsia="Arial" w:cs="Arial" w:ascii="Arial" w:hAnsi="Arial"/>
                <w:sz w:val="22"/>
                <w:szCs w:val="22"/>
              </w:rPr>
              <w:t>- Coordinar los equipos encargados de la verificación de los permisos y del cumplimiento de las obligaciones por parte de los artistas en  campo.</w:t>
            </w:r>
          </w:p>
          <w:p>
            <w:pPr>
              <w:pStyle w:val="Normal1"/>
              <w:widowControl w:val="false"/>
              <w:spacing w:lineRule="auto" w:line="276"/>
              <w:rPr>
                <w:rFonts w:ascii="Arial" w:hAnsi="Arial" w:eastAsia="Arial" w:cs="Arial"/>
                <w:sz w:val="22"/>
                <w:szCs w:val="22"/>
              </w:rPr>
            </w:pPr>
            <w:r>
              <w:rPr>
                <w:rFonts w:eastAsia="Arial" w:cs="Arial" w:ascii="Arial" w:hAnsi="Arial"/>
                <w:sz w:val="22"/>
                <w:szCs w:val="22"/>
              </w:rPr>
            </w:r>
          </w:p>
          <w:p>
            <w:pPr>
              <w:pStyle w:val="Normal1"/>
              <w:widowControl w:val="false"/>
              <w:spacing w:lineRule="auto" w:line="276"/>
              <w:rPr>
                <w:rFonts w:ascii="Arial" w:hAnsi="Arial" w:eastAsia="Arial" w:cs="Arial"/>
                <w:sz w:val="22"/>
                <w:szCs w:val="22"/>
              </w:rPr>
            </w:pPr>
            <w:r>
              <w:rPr>
                <w:rFonts w:eastAsia="Arial" w:cs="Arial" w:ascii="Arial" w:hAnsi="Arial"/>
                <w:sz w:val="22"/>
                <w:szCs w:val="22"/>
              </w:rPr>
              <w:t>- Verificar en cada zona autorizada el cumplimiento de las obligaciones estipuladas en el permiso.</w:t>
            </w:r>
          </w:p>
          <w:p>
            <w:pPr>
              <w:pStyle w:val="Normal1"/>
              <w:widowControl w:val="false"/>
              <w:spacing w:lineRule="auto" w:line="276"/>
              <w:rPr>
                <w:rFonts w:ascii="Arial" w:hAnsi="Arial" w:eastAsia="Arial" w:cs="Arial"/>
                <w:sz w:val="22"/>
                <w:szCs w:val="22"/>
              </w:rPr>
            </w:pPr>
            <w:r>
              <w:rPr>
                <w:rFonts w:eastAsia="Arial" w:cs="Arial" w:ascii="Arial" w:hAnsi="Arial"/>
                <w:sz w:val="22"/>
                <w:szCs w:val="22"/>
              </w:rPr>
            </w:r>
          </w:p>
          <w:p>
            <w:pPr>
              <w:pStyle w:val="Normal1"/>
              <w:widowControl w:val="false"/>
              <w:spacing w:lineRule="auto" w:line="276"/>
              <w:rPr>
                <w:rFonts w:ascii="Arial" w:hAnsi="Arial" w:eastAsia="Arial" w:cs="Arial"/>
                <w:sz w:val="22"/>
                <w:szCs w:val="22"/>
              </w:rPr>
            </w:pPr>
            <w:r>
              <w:rPr>
                <w:rFonts w:eastAsia="Arial" w:cs="Arial" w:ascii="Arial" w:hAnsi="Arial"/>
                <w:sz w:val="22"/>
                <w:szCs w:val="22"/>
              </w:rPr>
              <w:t>- Hacer seguimiento al cumplimiento de las obligaciones, y adelantar acciones pertinentes ante el incumplimiento de las mismas.</w:t>
            </w:r>
          </w:p>
          <w:p>
            <w:pPr>
              <w:pStyle w:val="Normal1"/>
              <w:widowControl w:val="false"/>
              <w:spacing w:lineRule="auto" w:line="276"/>
              <w:rPr>
                <w:rFonts w:ascii="Arial" w:hAnsi="Arial" w:eastAsia="Arial" w:cs="Arial"/>
                <w:sz w:val="22"/>
                <w:szCs w:val="22"/>
              </w:rPr>
            </w:pPr>
            <w:r>
              <w:rPr>
                <w:rFonts w:eastAsia="Arial" w:cs="Arial" w:ascii="Arial" w:hAnsi="Arial"/>
                <w:sz w:val="22"/>
                <w:szCs w:val="22"/>
              </w:rPr>
            </w:r>
          </w:p>
          <w:p>
            <w:pPr>
              <w:pStyle w:val="Normal1"/>
              <w:widowControl w:val="false"/>
              <w:spacing w:lineRule="auto" w:line="276"/>
              <w:rPr>
                <w:rFonts w:ascii="Arial" w:hAnsi="Arial" w:eastAsia="Arial" w:cs="Arial"/>
                <w:sz w:val="22"/>
                <w:szCs w:val="22"/>
              </w:rPr>
            </w:pPr>
            <w:r>
              <w:rPr>
                <w:rFonts w:eastAsia="Arial" w:cs="Arial" w:ascii="Arial" w:hAnsi="Arial"/>
                <w:sz w:val="22"/>
                <w:szCs w:val="22"/>
              </w:rPr>
              <w:t>- Generar, junto con la SCRD los canales de comunicación necesarios con las autoridades de Policía y demás actores de control en el territorio.</w:t>
            </w:r>
          </w:p>
          <w:p>
            <w:pPr>
              <w:pStyle w:val="Normal1"/>
              <w:widowControl w:val="false"/>
              <w:spacing w:lineRule="auto" w:line="276"/>
              <w:rPr>
                <w:rFonts w:ascii="Arial" w:hAnsi="Arial" w:eastAsia="Arial" w:cs="Arial"/>
                <w:sz w:val="22"/>
                <w:szCs w:val="22"/>
              </w:rPr>
            </w:pPr>
            <w:r>
              <w:rPr>
                <w:rFonts w:eastAsia="Arial" w:cs="Arial" w:ascii="Arial" w:hAnsi="Arial"/>
                <w:sz w:val="22"/>
                <w:szCs w:val="22"/>
              </w:rPr>
            </w:r>
          </w:p>
          <w:p>
            <w:pPr>
              <w:pStyle w:val="Normal1"/>
              <w:widowControl w:val="false"/>
              <w:spacing w:lineRule="auto" w:line="276"/>
              <w:rPr>
                <w:rFonts w:ascii="Arial" w:hAnsi="Arial" w:eastAsia="Arial" w:cs="Arial"/>
                <w:sz w:val="22"/>
                <w:szCs w:val="22"/>
              </w:rPr>
            </w:pPr>
            <w:r>
              <w:rPr>
                <w:rFonts w:eastAsia="Arial" w:cs="Arial" w:ascii="Arial" w:hAnsi="Arial"/>
                <w:sz w:val="22"/>
                <w:szCs w:val="22"/>
              </w:rPr>
              <w:t>- Mantener actualizada la plataforma habilitada para el permiso de aprovechamiento económico del espacio público.</w:t>
            </w:r>
          </w:p>
          <w:p>
            <w:pPr>
              <w:pStyle w:val="Normal1"/>
              <w:widowControl w:val="false"/>
              <w:spacing w:lineRule="auto" w:line="276"/>
              <w:rPr>
                <w:rFonts w:ascii="Arial" w:hAnsi="Arial" w:eastAsia="Arial" w:cs="Arial"/>
                <w:sz w:val="22"/>
                <w:szCs w:val="22"/>
              </w:rPr>
            </w:pPr>
            <w:r>
              <w:rPr>
                <w:rFonts w:eastAsia="Arial" w:cs="Arial" w:ascii="Arial" w:hAnsi="Arial"/>
                <w:sz w:val="22"/>
                <w:szCs w:val="22"/>
              </w:rPr>
            </w:r>
          </w:p>
          <w:p>
            <w:pPr>
              <w:pStyle w:val="Normal1"/>
              <w:widowControl w:val="false"/>
              <w:spacing w:lineRule="auto" w:line="276"/>
              <w:rPr>
                <w:rFonts w:ascii="Arial" w:hAnsi="Arial" w:eastAsia="Arial" w:cs="Arial"/>
                <w:sz w:val="22"/>
                <w:szCs w:val="22"/>
              </w:rPr>
            </w:pPr>
            <w:r>
              <w:rPr>
                <w:rFonts w:eastAsia="Arial" w:cs="Arial" w:ascii="Arial" w:hAnsi="Arial"/>
                <w:sz w:val="22"/>
                <w:szCs w:val="22"/>
              </w:rPr>
              <w:t>- Brindar información a la ciudadanía sobre la RAAEP.</w:t>
            </w:r>
          </w:p>
          <w:p>
            <w:pPr>
              <w:pStyle w:val="Normal1"/>
              <w:widowControl w:val="false"/>
              <w:spacing w:lineRule="auto" w:line="276"/>
              <w:rPr>
                <w:rFonts w:ascii="Arial" w:hAnsi="Arial" w:eastAsia="Arial" w:cs="Arial"/>
                <w:sz w:val="22"/>
                <w:szCs w:val="22"/>
              </w:rPr>
            </w:pPr>
            <w:r>
              <w:rPr>
                <w:rFonts w:eastAsia="Arial" w:cs="Arial" w:ascii="Arial" w:hAnsi="Arial"/>
                <w:sz w:val="22"/>
                <w:szCs w:val="22"/>
              </w:rPr>
            </w:r>
          </w:p>
          <w:p>
            <w:pPr>
              <w:pStyle w:val="Normal1"/>
              <w:widowControl w:val="false"/>
              <w:spacing w:lineRule="auto" w:line="276"/>
              <w:rPr>
                <w:rFonts w:ascii="Arial" w:hAnsi="Arial" w:eastAsia="Arial" w:cs="Arial"/>
                <w:sz w:val="22"/>
                <w:szCs w:val="22"/>
              </w:rPr>
            </w:pPr>
            <w:r>
              <w:rPr>
                <w:rFonts w:eastAsia="Arial" w:cs="Arial" w:ascii="Arial" w:hAnsi="Arial"/>
                <w:sz w:val="22"/>
                <w:szCs w:val="22"/>
              </w:rPr>
              <w:t>- Informar a los artistas regulados sobre las novedades en la RAAEP.</w:t>
            </w:r>
          </w:p>
        </w:tc>
      </w:tr>
    </w:tbl>
    <w:p>
      <w:pPr>
        <w:pStyle w:val="Normal1"/>
        <w:widowControl w:val="false"/>
        <w:spacing w:lineRule="auto" w:line="276"/>
        <w:jc w:val="both"/>
        <w:rPr>
          <w:rFonts w:ascii="Arial" w:hAnsi="Arial" w:eastAsia="Arial" w:cs="Arial"/>
          <w:sz w:val="22"/>
          <w:szCs w:val="22"/>
        </w:rPr>
      </w:pPr>
      <w:r>
        <w:rPr>
          <w:rFonts w:eastAsia="Arial" w:cs="Arial" w:ascii="Arial" w:hAnsi="Arial"/>
          <w:sz w:val="22"/>
          <w:szCs w:val="22"/>
        </w:rPr>
        <w:t>*</w:t>
      </w:r>
      <w:r>
        <w:rPr>
          <w:rFonts w:eastAsia="Arial" w:cs="Arial" w:ascii="Arial" w:hAnsi="Arial"/>
          <w:sz w:val="18"/>
          <w:szCs w:val="18"/>
        </w:rPr>
        <w:t>RAAEP: Regulación de Actividades Artísticas en el Espacio Público</w:t>
      </w:r>
    </w:p>
    <w:p>
      <w:pPr>
        <w:pStyle w:val="Normal1"/>
        <w:spacing w:lineRule="auto" w:line="276"/>
        <w:jc w:val="both"/>
        <w:rPr>
          <w:rFonts w:ascii="Arial" w:hAnsi="Arial" w:eastAsia="Arial" w:cs="Arial"/>
          <w:sz w:val="22"/>
          <w:szCs w:val="22"/>
        </w:rPr>
      </w:pPr>
      <w:r>
        <w:rPr>
          <w:rFonts w:eastAsia="Arial" w:cs="Arial" w:ascii="Arial" w:hAnsi="Arial"/>
          <w:sz w:val="22"/>
          <w:szCs w:val="22"/>
        </w:rPr>
      </w:r>
    </w:p>
    <w:p>
      <w:pPr>
        <w:pStyle w:val="Normal1"/>
        <w:spacing w:lineRule="auto" w:line="276"/>
        <w:jc w:val="both"/>
        <w:rPr>
          <w:rFonts w:ascii="Arial" w:hAnsi="Arial" w:eastAsia="Arial" w:cs="Arial"/>
          <w:sz w:val="22"/>
          <w:szCs w:val="22"/>
        </w:rPr>
      </w:pPr>
      <w:r>
        <w:rPr>
          <w:rFonts w:eastAsia="Arial" w:cs="Arial" w:ascii="Arial" w:hAnsi="Arial"/>
          <w:sz w:val="22"/>
          <w:szCs w:val="22"/>
        </w:rPr>
        <w:t>Que con relación a las actividades artísticas en el espacio público, en el artículo 23 de la mencionada Resolución 787 de 2023, se planteó un periodo de transición de seis (6) meses siguientes a la publicación de la normativa, durante los cuales la RAAEP seguiría funcionando conforme a los lineamientos establecidos en la Resolución 634 de 2019.</w:t>
      </w:r>
    </w:p>
    <w:p>
      <w:pPr>
        <w:pStyle w:val="Normal1"/>
        <w:spacing w:lineRule="auto" w:line="276"/>
        <w:jc w:val="both"/>
        <w:rPr>
          <w:rFonts w:ascii="Arial" w:hAnsi="Arial" w:eastAsia="Arial" w:cs="Arial"/>
          <w:sz w:val="22"/>
          <w:szCs w:val="22"/>
        </w:rPr>
      </w:pPr>
      <w:r>
        <w:rPr>
          <w:rFonts w:eastAsia="Arial" w:cs="Arial" w:ascii="Arial" w:hAnsi="Arial"/>
          <w:sz w:val="22"/>
          <w:szCs w:val="22"/>
        </w:rPr>
      </w:r>
    </w:p>
    <w:p>
      <w:pPr>
        <w:pStyle w:val="Normal1"/>
        <w:spacing w:lineRule="auto" w:line="276"/>
        <w:jc w:val="both"/>
        <w:rPr>
          <w:rFonts w:ascii="Arial" w:hAnsi="Arial" w:eastAsia="Arial" w:cs="Arial"/>
          <w:sz w:val="22"/>
          <w:szCs w:val="22"/>
        </w:rPr>
      </w:pPr>
      <w:r>
        <w:rPr>
          <w:rFonts w:eastAsia="Arial" w:cs="Arial" w:ascii="Arial" w:hAnsi="Arial"/>
          <w:sz w:val="22"/>
          <w:szCs w:val="22"/>
        </w:rPr>
        <w:t>Que así mismo, el mencionado artículo 23 de la mentada Resolución, dispuso que la SCRD y el Idartes tendrían un plazo de seis (6) meses para actualizar y modificar, respectivamente, los planes de manejo aprobados y los lineamientos fijados en las Resolución Idartes No. 1468 de 2018</w:t>
      </w:r>
      <w:r>
        <w:rPr>
          <w:rFonts w:eastAsia="Arial" w:cs="Arial" w:ascii="Arial" w:hAnsi="Arial"/>
          <w:i/>
          <w:sz w:val="22"/>
          <w:szCs w:val="22"/>
        </w:rPr>
        <w:t xml:space="preserve"> “Por la cual se definen los lineamientos generales para la implementación de la Regulación de las Actividades Artísticas en el Espacio Público, exentas del pago por aprovechamiento económico”</w:t>
      </w:r>
      <w:r>
        <w:rPr>
          <w:rFonts w:eastAsia="Arial" w:cs="Arial" w:ascii="Arial" w:hAnsi="Arial"/>
          <w:sz w:val="22"/>
          <w:szCs w:val="22"/>
        </w:rPr>
        <w:t xml:space="preserve"> y Resolución SCRD No. 575 de 2018 </w:t>
      </w:r>
      <w:r>
        <w:rPr>
          <w:rFonts w:eastAsia="Arial" w:cs="Arial" w:ascii="Arial" w:hAnsi="Arial"/>
          <w:i/>
          <w:sz w:val="22"/>
          <w:szCs w:val="22"/>
        </w:rPr>
        <w:t>“Por medio de la cual se adopta el protocolo para actividades artísticas en espacio público”.</w:t>
      </w:r>
      <w:r>
        <w:rPr>
          <w:rFonts w:eastAsia="Arial" w:cs="Arial" w:ascii="Arial" w:hAnsi="Arial"/>
          <w:sz w:val="22"/>
          <w:szCs w:val="22"/>
        </w:rPr>
        <w:t xml:space="preserve"> </w:t>
      </w:r>
    </w:p>
    <w:p>
      <w:pPr>
        <w:pStyle w:val="Normal1"/>
        <w:spacing w:lineRule="auto" w:line="276"/>
        <w:jc w:val="both"/>
        <w:rPr>
          <w:rFonts w:ascii="Arial" w:hAnsi="Arial" w:eastAsia="Arial" w:cs="Arial"/>
          <w:sz w:val="22"/>
          <w:szCs w:val="22"/>
        </w:rPr>
      </w:pPr>
      <w:r>
        <w:rPr>
          <w:rFonts w:eastAsia="Arial" w:cs="Arial" w:ascii="Arial" w:hAnsi="Arial"/>
          <w:sz w:val="22"/>
          <w:szCs w:val="22"/>
        </w:rPr>
      </w:r>
    </w:p>
    <w:p>
      <w:pPr>
        <w:pStyle w:val="Normal1"/>
        <w:spacing w:lineRule="auto" w:line="276"/>
        <w:jc w:val="both"/>
        <w:rPr>
          <w:rFonts w:ascii="Arial" w:hAnsi="Arial" w:eastAsia="Arial" w:cs="Arial"/>
          <w:sz w:val="22"/>
          <w:szCs w:val="22"/>
        </w:rPr>
      </w:pPr>
      <w:r>
        <w:rPr>
          <w:rFonts w:eastAsia="Arial" w:cs="Arial" w:ascii="Arial" w:hAnsi="Arial"/>
          <w:sz w:val="22"/>
          <w:szCs w:val="22"/>
        </w:rPr>
        <w:t>Que posteriormente, a la expedición de la Resolución 787 de 2023; el día 19 de octubre de 2023, fue expedido el Decreto 493 del 26 de octubre de 2023 “</w:t>
      </w:r>
      <w:r>
        <w:rPr>
          <w:rFonts w:eastAsia="Arial" w:cs="Arial" w:ascii="Arial" w:hAnsi="Arial"/>
          <w:i/>
          <w:sz w:val="22"/>
          <w:szCs w:val="22"/>
        </w:rPr>
        <w:t xml:space="preserve">Por medio del cual se reglamenta la administración y el aprovechamiento económico del espacio público en el Distrito Capital y se dictan otras disposiciones”, </w:t>
      </w:r>
      <w:r>
        <w:rPr>
          <w:rFonts w:eastAsia="Arial" w:cs="Arial" w:ascii="Arial" w:hAnsi="Arial"/>
          <w:sz w:val="22"/>
          <w:szCs w:val="22"/>
        </w:rPr>
        <w:t xml:space="preserve">donde se definen las competencias de la SCRD e Idartes, respecto a las actividades artísticas reguladas. </w:t>
      </w:r>
    </w:p>
    <w:p>
      <w:pPr>
        <w:pStyle w:val="Normal1"/>
        <w:spacing w:lineRule="auto" w:line="276"/>
        <w:jc w:val="both"/>
        <w:rPr>
          <w:rFonts w:ascii="Arial" w:hAnsi="Arial" w:eastAsia="Arial" w:cs="Arial"/>
          <w:sz w:val="22"/>
          <w:szCs w:val="22"/>
        </w:rPr>
      </w:pPr>
      <w:r>
        <w:rPr>
          <w:rFonts w:eastAsia="Arial" w:cs="Arial" w:ascii="Arial" w:hAnsi="Arial"/>
          <w:sz w:val="22"/>
          <w:szCs w:val="22"/>
        </w:rPr>
      </w:r>
    </w:p>
    <w:p>
      <w:pPr>
        <w:pStyle w:val="Normal1"/>
        <w:spacing w:lineRule="auto" w:line="276"/>
        <w:jc w:val="both"/>
        <w:rPr>
          <w:rFonts w:ascii="Arial" w:hAnsi="Arial" w:eastAsia="Arial" w:cs="Arial"/>
          <w:sz w:val="22"/>
          <w:szCs w:val="22"/>
        </w:rPr>
      </w:pPr>
      <w:r>
        <w:rPr>
          <w:rFonts w:eastAsia="Arial" w:cs="Arial" w:ascii="Arial" w:hAnsi="Arial"/>
          <w:sz w:val="22"/>
          <w:szCs w:val="22"/>
        </w:rPr>
        <w:t>Que en el artículo 46 del Decreto 493 de 2023 se estableció que: “</w:t>
      </w:r>
      <w:r>
        <w:rPr>
          <w:rFonts w:eastAsia="Arial" w:cs="Arial" w:ascii="Arial" w:hAnsi="Arial"/>
          <w:i/>
          <w:sz w:val="22"/>
          <w:szCs w:val="22"/>
        </w:rPr>
        <w:t>Los protocolos de aprovechamiento económico que hayan sido adoptados a la entrada en vigencia del presente decreto continuarán vigentes hasta tanto sean modificados por las entidades competentes conforme a lo definido en el presente acto, para lo cual tendrán seis (6) meses a partir de la expedición del presente acto”</w:t>
      </w:r>
      <w:r>
        <w:rPr>
          <w:rFonts w:eastAsia="Arial" w:cs="Arial" w:ascii="Arial" w:hAnsi="Arial"/>
          <w:sz w:val="22"/>
          <w:szCs w:val="22"/>
        </w:rPr>
        <w:t>.</w:t>
      </w:r>
    </w:p>
    <w:p>
      <w:pPr>
        <w:pStyle w:val="Normal1"/>
        <w:spacing w:lineRule="auto" w:line="276"/>
        <w:jc w:val="both"/>
        <w:rPr>
          <w:rFonts w:ascii="Arial" w:hAnsi="Arial" w:eastAsia="Arial" w:cs="Arial"/>
          <w:sz w:val="22"/>
          <w:szCs w:val="22"/>
        </w:rPr>
      </w:pPr>
      <w:r>
        <w:rPr>
          <w:rFonts w:eastAsia="Arial" w:cs="Arial" w:ascii="Arial" w:hAnsi="Arial"/>
          <w:sz w:val="22"/>
          <w:szCs w:val="22"/>
        </w:rPr>
      </w:r>
    </w:p>
    <w:p>
      <w:pPr>
        <w:pStyle w:val="Normal1"/>
        <w:shd w:val="clear" w:color="auto" w:fill="FFFFFF"/>
        <w:spacing w:lineRule="auto" w:line="276"/>
        <w:jc w:val="both"/>
        <w:rPr/>
      </w:pPr>
      <w:r>
        <w:rPr>
          <w:rFonts w:eastAsia="Arial" w:cs="Arial" w:ascii="Arial" w:hAnsi="Arial"/>
          <w:sz w:val="22"/>
          <w:szCs w:val="22"/>
        </w:rPr>
        <w:t xml:space="preserve">Que asimismo, en el numeral </w:t>
      </w:r>
      <w:r>
        <w:fldChar w:fldCharType="begin"/>
      </w:r>
      <w:r>
        <w:rPr>
          <w:rStyle w:val="Style"/>
          <w:sz w:val="22"/>
          <w:szCs w:val="22"/>
          <w:rFonts w:eastAsia="Arial" w:cs="Arial" w:ascii="Arial" w:hAnsi="Arial"/>
        </w:rPr>
        <w:instrText> HYPERLINK "https://www.alcaldiabogota.gov.co/sisjur/normas/Norma1.jsp?i=150341" \l "46.n.46.4"</w:instrText>
      </w:r>
      <w:r>
        <w:rPr>
          <w:rStyle w:val="Style"/>
          <w:sz w:val="22"/>
          <w:szCs w:val="22"/>
          <w:rFonts w:eastAsia="Arial" w:cs="Arial" w:ascii="Arial" w:hAnsi="Arial"/>
        </w:rPr>
        <w:fldChar w:fldCharType="separate"/>
      </w:r>
      <w:r>
        <w:rPr>
          <w:rStyle w:val="Style"/>
          <w:rFonts w:eastAsia="Arial" w:cs="Arial" w:ascii="Arial" w:hAnsi="Arial"/>
          <w:sz w:val="22"/>
          <w:szCs w:val="22"/>
        </w:rPr>
        <w:t>46.4</w:t>
      </w:r>
      <w:r>
        <w:rPr>
          <w:rStyle w:val="Style"/>
          <w:sz w:val="22"/>
          <w:szCs w:val="22"/>
          <w:rFonts w:eastAsia="Arial" w:cs="Arial" w:ascii="Arial" w:hAnsi="Arial"/>
        </w:rPr>
        <w:fldChar w:fldCharType="end"/>
      </w:r>
      <w:r>
        <w:rPr>
          <w:rFonts w:eastAsia="Arial" w:cs="Arial" w:ascii="Arial" w:hAnsi="Arial"/>
          <w:sz w:val="22"/>
          <w:szCs w:val="22"/>
        </w:rPr>
        <w:t xml:space="preserve"> el Decreto 493 de 2023 dispuso que los protocolos de aprovechamiento económico adoptados antes de la expedición del mencionado acto administrativo continuaban vigentes hasta tanto las entidades competentes realizarán la modificación o expedición de nuevos protocolos en un plazo de seis (6) meses. </w:t>
      </w:r>
    </w:p>
    <w:p>
      <w:pPr>
        <w:pStyle w:val="Normal1"/>
        <w:spacing w:lineRule="auto" w:line="276"/>
        <w:rPr>
          <w:rFonts w:ascii="Arial" w:hAnsi="Arial" w:eastAsia="Arial" w:cs="Arial"/>
          <w:sz w:val="22"/>
          <w:szCs w:val="22"/>
        </w:rPr>
      </w:pPr>
      <w:r>
        <w:rPr>
          <w:rFonts w:eastAsia="Arial" w:cs="Arial" w:ascii="Arial" w:hAnsi="Arial"/>
          <w:sz w:val="22"/>
          <w:szCs w:val="22"/>
        </w:rPr>
        <w:t xml:space="preserve"> </w:t>
      </w:r>
    </w:p>
    <w:p>
      <w:pPr>
        <w:pStyle w:val="Normal1"/>
        <w:shd w:val="clear" w:color="auto" w:fill="FFFFFF"/>
        <w:spacing w:lineRule="auto" w:line="276"/>
        <w:jc w:val="both"/>
        <w:rPr>
          <w:rFonts w:ascii="Arial" w:hAnsi="Arial" w:eastAsia="Arial" w:cs="Arial"/>
          <w:i/>
          <w:i/>
          <w:sz w:val="22"/>
          <w:szCs w:val="22"/>
        </w:rPr>
      </w:pPr>
      <w:r>
        <w:rPr>
          <w:rFonts w:eastAsia="Arial" w:cs="Arial" w:ascii="Arial" w:hAnsi="Arial"/>
          <w:sz w:val="22"/>
          <w:szCs w:val="22"/>
        </w:rPr>
        <w:t>Que como consecuencia de las mesas de trabajo realizadas en el marco de la Comisión Intersectorial del Espacio Público - CIEP, las entidades consideraron necesario ajustar las condiciones en las que se expedirán los protocolos de aprovechamiento económico del espacio público, por lo que se expidió el Decreto Distrital 143 del 26 de abril de 2024, “</w:t>
      </w:r>
      <w:r>
        <w:rPr>
          <w:rFonts w:eastAsia="Arial" w:cs="Arial" w:ascii="Arial" w:hAnsi="Arial"/>
          <w:i/>
          <w:sz w:val="22"/>
          <w:szCs w:val="22"/>
        </w:rPr>
        <w:t>Por medio del cual se modifica el numeral 46.4. del Decreto Distrital 493 de 2023”.</w:t>
      </w:r>
    </w:p>
    <w:p>
      <w:pPr>
        <w:pStyle w:val="Normal1"/>
        <w:shd w:val="clear" w:color="auto" w:fill="FFFFFF"/>
        <w:spacing w:lineRule="auto" w:line="276"/>
        <w:jc w:val="both"/>
        <w:rPr>
          <w:rFonts w:ascii="Arial" w:hAnsi="Arial" w:eastAsia="Arial" w:cs="Arial"/>
          <w:sz w:val="22"/>
          <w:szCs w:val="22"/>
        </w:rPr>
      </w:pPr>
      <w:r>
        <w:rPr>
          <w:rFonts w:eastAsia="Arial" w:cs="Arial" w:ascii="Arial" w:hAnsi="Arial"/>
          <w:sz w:val="22"/>
          <w:szCs w:val="22"/>
        </w:rPr>
      </w:r>
    </w:p>
    <w:p>
      <w:pPr>
        <w:pStyle w:val="Normal1"/>
        <w:shd w:val="clear" w:color="auto" w:fill="FFFFFF"/>
        <w:spacing w:lineRule="auto" w:line="276"/>
        <w:jc w:val="both"/>
        <w:rPr/>
      </w:pPr>
      <w:r>
        <w:rPr>
          <w:rFonts w:eastAsia="Arial" w:cs="Arial" w:ascii="Arial" w:hAnsi="Arial"/>
          <w:sz w:val="22"/>
          <w:szCs w:val="22"/>
        </w:rPr>
        <w:t xml:space="preserve">Que el numeral </w:t>
      </w:r>
      <w:r>
        <w:fldChar w:fldCharType="begin"/>
      </w:r>
      <w:r>
        <w:rPr>
          <w:rStyle w:val="Style"/>
          <w:sz w:val="22"/>
          <w:szCs w:val="22"/>
          <w:rFonts w:eastAsia="Arial" w:cs="Arial" w:ascii="Arial" w:hAnsi="Arial"/>
        </w:rPr>
        <w:instrText> HYPERLINK "https://www.alcaldiabogota.gov.co/sisjur/normas/Norma1.jsp?i=150341" \l "46.n.46.4"</w:instrText>
      </w:r>
      <w:r>
        <w:rPr>
          <w:rStyle w:val="Style"/>
          <w:sz w:val="22"/>
          <w:szCs w:val="22"/>
          <w:rFonts w:eastAsia="Arial" w:cs="Arial" w:ascii="Arial" w:hAnsi="Arial"/>
        </w:rPr>
        <w:fldChar w:fldCharType="separate"/>
      </w:r>
      <w:r>
        <w:rPr>
          <w:rStyle w:val="Style"/>
          <w:rFonts w:eastAsia="Arial" w:cs="Arial" w:ascii="Arial" w:hAnsi="Arial"/>
          <w:sz w:val="22"/>
          <w:szCs w:val="22"/>
        </w:rPr>
        <w:t>46.4</w:t>
      </w:r>
      <w:r>
        <w:rPr>
          <w:rStyle w:val="Style"/>
          <w:sz w:val="22"/>
          <w:szCs w:val="22"/>
          <w:rFonts w:eastAsia="Arial" w:cs="Arial" w:ascii="Arial" w:hAnsi="Arial"/>
        </w:rPr>
        <w:fldChar w:fldCharType="end"/>
      </w:r>
      <w:r>
        <w:rPr>
          <w:rFonts w:eastAsia="Arial" w:cs="Arial" w:ascii="Arial" w:hAnsi="Arial"/>
          <w:sz w:val="22"/>
          <w:szCs w:val="22"/>
        </w:rPr>
        <w:t xml:space="preserve"> del mencionado Decreto Distrital 143 de 2024 estableció lo siguiente: </w:t>
      </w:r>
      <w:r>
        <w:rPr>
          <w:rFonts w:eastAsia="Arial" w:cs="Arial" w:ascii="Arial" w:hAnsi="Arial"/>
          <w:i/>
          <w:sz w:val="22"/>
          <w:szCs w:val="22"/>
        </w:rPr>
        <w:t xml:space="preserve">”Los protocolos de aprovechamiento económico que hayan sido adoptados a la entrada en vigencia del presente decreto continuarán vigentes hasta tanto sean modificados por las entidades competentes conforme a lo definido en el presente acto, para lo cual tendrán doce (12) meses a partir de la expedición del presente acto”. </w:t>
      </w:r>
    </w:p>
    <w:p>
      <w:pPr>
        <w:pStyle w:val="Normal1"/>
        <w:spacing w:lineRule="auto" w:line="276"/>
        <w:jc w:val="both"/>
        <w:rPr>
          <w:rFonts w:ascii="Arial" w:hAnsi="Arial" w:eastAsia="Arial" w:cs="Arial"/>
          <w:sz w:val="22"/>
          <w:szCs w:val="22"/>
        </w:rPr>
      </w:pPr>
      <w:r>
        <w:rPr>
          <w:rFonts w:eastAsia="Arial" w:cs="Arial" w:ascii="Arial" w:hAnsi="Arial"/>
          <w:sz w:val="22"/>
          <w:szCs w:val="22"/>
        </w:rPr>
      </w:r>
    </w:p>
    <w:p>
      <w:pPr>
        <w:pStyle w:val="Normal1"/>
        <w:spacing w:lineRule="auto" w:line="276"/>
        <w:jc w:val="both"/>
        <w:rPr>
          <w:rFonts w:ascii="Arial" w:hAnsi="Arial" w:eastAsia="Arial" w:cs="Arial"/>
          <w:sz w:val="22"/>
          <w:szCs w:val="22"/>
        </w:rPr>
      </w:pPr>
      <w:r>
        <w:rPr>
          <w:rFonts w:eastAsia="Arial" w:cs="Arial" w:ascii="Arial" w:hAnsi="Arial"/>
          <w:sz w:val="22"/>
          <w:szCs w:val="22"/>
        </w:rPr>
        <w:t xml:space="preserve">Que de acuerdo al resultado  de la revisión realizada por la Comisión Intersectorial del Espacio Público - CIEP, en el marco de sus funciones de coordinación y articulación de la Política Pública Distrital de Espacio Público, con énfasis en su sostenibilidad; y la implementación de los instrumentos y procedimientos, se estableció la necesidad de modificar el Marco Regulatorio del Aprovechamiento Económico del Espacio Público en el Distrito Capital - MRAEEP, expedido por el Decreto Distrital 493 de 2023, para lo cual el </w:t>
      </w:r>
      <w:r>
        <w:rPr>
          <w:rFonts w:eastAsia="Arial" w:cs="Arial" w:ascii="Arial" w:hAnsi="Arial"/>
          <w:sz w:val="22"/>
          <w:szCs w:val="22"/>
          <w:highlight w:val="white"/>
        </w:rPr>
        <w:t>Departamento Administrativo de la</w:t>
      </w:r>
      <w:r>
        <w:rPr>
          <w:rFonts w:eastAsia="Arial" w:cs="Arial" w:ascii="Arial" w:hAnsi="Arial"/>
          <w:b/>
          <w:sz w:val="22"/>
          <w:szCs w:val="22"/>
          <w:highlight w:val="white"/>
        </w:rPr>
        <w:t xml:space="preserve"> </w:t>
      </w:r>
      <w:r>
        <w:rPr>
          <w:rFonts w:eastAsia="Arial" w:cs="Arial" w:ascii="Arial" w:hAnsi="Arial"/>
          <w:sz w:val="22"/>
          <w:szCs w:val="22"/>
          <w:highlight w:val="white"/>
        </w:rPr>
        <w:t xml:space="preserve">Defensoría del Espacio Público - DADEP, </w:t>
      </w:r>
      <w:r>
        <w:rPr>
          <w:rFonts w:eastAsia="Arial" w:cs="Arial" w:ascii="Arial" w:hAnsi="Arial"/>
          <w:sz w:val="22"/>
          <w:szCs w:val="22"/>
        </w:rPr>
        <w:t xml:space="preserve">está realizando mesas técnicas con las entidades que conforman la Comisión Intersectorial del Espacio Público - CIEP para la modificación del citado decreto. Lo anterior atendiendo a la aplicación del marco normativo en las políticas establecidas para cada uno de los miembros de este espacio de coordinación.  </w:t>
      </w:r>
    </w:p>
    <w:p>
      <w:pPr>
        <w:pStyle w:val="Normal1"/>
        <w:spacing w:lineRule="auto" w:line="276"/>
        <w:jc w:val="both"/>
        <w:rPr>
          <w:rFonts w:ascii="Arial" w:hAnsi="Arial" w:eastAsia="Arial" w:cs="Arial"/>
          <w:sz w:val="22"/>
          <w:szCs w:val="22"/>
        </w:rPr>
      </w:pPr>
      <w:r>
        <w:rPr>
          <w:rFonts w:eastAsia="Arial" w:cs="Arial" w:ascii="Arial" w:hAnsi="Arial"/>
          <w:sz w:val="22"/>
          <w:szCs w:val="22"/>
        </w:rPr>
      </w:r>
    </w:p>
    <w:p>
      <w:pPr>
        <w:pStyle w:val="Normal1"/>
        <w:spacing w:lineRule="auto" w:line="276"/>
        <w:jc w:val="both"/>
        <w:rPr>
          <w:rFonts w:ascii="Arial" w:hAnsi="Arial" w:eastAsia="Arial" w:cs="Arial"/>
          <w:sz w:val="22"/>
          <w:szCs w:val="22"/>
        </w:rPr>
      </w:pPr>
      <w:r>
        <w:rPr>
          <w:rFonts w:eastAsia="Arial" w:cs="Arial" w:ascii="Arial" w:hAnsi="Arial"/>
          <w:sz w:val="22"/>
          <w:szCs w:val="22"/>
        </w:rPr>
        <w:t xml:space="preserve">En mérito de lo expuesto desde la Secretaría Distrital de Cultura, Recreación y Deporte y el Instituto Distrital de las Artes, se considera necesario modificar el término de transición establecido en el Artículo 23 de la Resolución 787 de 2023, acogiendo el plazo fijado en el numeral 46.4 del Decreto Distrital 143 de 2024. </w:t>
      </w:r>
    </w:p>
    <w:p>
      <w:pPr>
        <w:pStyle w:val="Normal1"/>
        <w:spacing w:lineRule="auto" w:line="276"/>
        <w:jc w:val="both"/>
        <w:rPr>
          <w:rFonts w:ascii="Arial" w:hAnsi="Arial" w:eastAsia="Arial" w:cs="Arial"/>
          <w:sz w:val="22"/>
          <w:szCs w:val="22"/>
        </w:rPr>
      </w:pPr>
      <w:r>
        <w:rPr>
          <w:rFonts w:eastAsia="Arial" w:cs="Arial" w:ascii="Arial" w:hAnsi="Arial"/>
          <w:sz w:val="22"/>
          <w:szCs w:val="22"/>
        </w:rPr>
      </w:r>
    </w:p>
    <w:p>
      <w:pPr>
        <w:pStyle w:val="Normal1"/>
        <w:spacing w:lineRule="auto" w:line="276"/>
        <w:jc w:val="both"/>
        <w:rPr>
          <w:rFonts w:ascii="Arial" w:hAnsi="Arial" w:eastAsia="Arial" w:cs="Arial"/>
          <w:b/>
          <w:b/>
          <w:sz w:val="22"/>
          <w:szCs w:val="22"/>
        </w:rPr>
      </w:pPr>
      <w:r>
        <w:rPr>
          <w:rFonts w:eastAsia="Arial" w:cs="Arial" w:ascii="Arial" w:hAnsi="Arial"/>
          <w:sz w:val="22"/>
          <w:szCs w:val="22"/>
        </w:rPr>
        <w:t>En consecuencia.</w:t>
      </w:r>
    </w:p>
    <w:p>
      <w:pPr>
        <w:pStyle w:val="Normal1"/>
        <w:spacing w:lineRule="auto" w:line="276"/>
        <w:jc w:val="center"/>
        <w:rPr>
          <w:rFonts w:ascii="Arial" w:hAnsi="Arial" w:eastAsia="Arial" w:cs="Arial"/>
          <w:b/>
          <w:b/>
          <w:sz w:val="22"/>
          <w:szCs w:val="22"/>
        </w:rPr>
      </w:pPr>
      <w:r>
        <w:rPr>
          <w:rFonts w:eastAsia="Arial" w:cs="Arial" w:ascii="Arial" w:hAnsi="Arial"/>
          <w:b/>
          <w:sz w:val="22"/>
          <w:szCs w:val="22"/>
        </w:rPr>
      </w:r>
    </w:p>
    <w:p>
      <w:pPr>
        <w:pStyle w:val="Normal1"/>
        <w:spacing w:lineRule="auto" w:line="276"/>
        <w:jc w:val="center"/>
        <w:rPr>
          <w:rFonts w:ascii="Arial" w:hAnsi="Arial" w:eastAsia="Arial" w:cs="Arial"/>
          <w:b/>
          <w:b/>
          <w:sz w:val="22"/>
          <w:szCs w:val="22"/>
        </w:rPr>
      </w:pPr>
      <w:r>
        <w:rPr>
          <w:rFonts w:eastAsia="Arial" w:cs="Arial" w:ascii="Arial" w:hAnsi="Arial"/>
          <w:b/>
          <w:sz w:val="22"/>
          <w:szCs w:val="22"/>
        </w:rPr>
      </w:r>
    </w:p>
    <w:p>
      <w:pPr>
        <w:pStyle w:val="Normal1"/>
        <w:spacing w:lineRule="auto" w:line="276"/>
        <w:jc w:val="center"/>
        <w:rPr>
          <w:rFonts w:ascii="Arial" w:hAnsi="Arial" w:eastAsia="Arial" w:cs="Arial"/>
          <w:b/>
          <w:b/>
          <w:sz w:val="22"/>
          <w:szCs w:val="22"/>
        </w:rPr>
      </w:pPr>
      <w:r>
        <w:rPr>
          <w:rFonts w:eastAsia="Arial" w:cs="Arial" w:ascii="Arial" w:hAnsi="Arial"/>
          <w:b/>
          <w:sz w:val="22"/>
          <w:szCs w:val="22"/>
        </w:rPr>
        <w:t>RESUELVE</w:t>
      </w:r>
    </w:p>
    <w:p>
      <w:pPr>
        <w:pStyle w:val="Normal1"/>
        <w:spacing w:lineRule="auto" w:line="276"/>
        <w:jc w:val="center"/>
        <w:rPr>
          <w:rFonts w:ascii="Arial" w:hAnsi="Arial" w:eastAsia="Arial" w:cs="Arial"/>
          <w:b/>
          <w:b/>
          <w:sz w:val="22"/>
          <w:szCs w:val="22"/>
        </w:rPr>
      </w:pPr>
      <w:r>
        <w:rPr>
          <w:rFonts w:eastAsia="Arial" w:cs="Arial" w:ascii="Arial" w:hAnsi="Arial"/>
          <w:b/>
          <w:sz w:val="22"/>
          <w:szCs w:val="22"/>
        </w:rPr>
      </w:r>
    </w:p>
    <w:p>
      <w:pPr>
        <w:pStyle w:val="Normal1"/>
        <w:spacing w:lineRule="auto" w:line="276"/>
        <w:jc w:val="both"/>
        <w:rPr>
          <w:rFonts w:ascii="Arial" w:hAnsi="Arial" w:eastAsia="Arial" w:cs="Arial"/>
          <w:sz w:val="22"/>
          <w:szCs w:val="22"/>
        </w:rPr>
      </w:pPr>
      <w:r>
        <w:rPr>
          <w:rFonts w:eastAsia="Arial" w:cs="Arial" w:ascii="Arial" w:hAnsi="Arial"/>
          <w:b/>
          <w:sz w:val="22"/>
          <w:szCs w:val="22"/>
        </w:rPr>
        <w:t xml:space="preserve">Artículo 1. </w:t>
      </w:r>
      <w:r>
        <w:rPr>
          <w:rFonts w:eastAsia="Arial" w:cs="Arial" w:ascii="Arial" w:hAnsi="Arial"/>
          <w:sz w:val="22"/>
          <w:szCs w:val="22"/>
        </w:rPr>
        <w:t xml:space="preserve">Adoptar el plazo concedido en el artículo 46.4. del Decreto Distrital 493 de 2023 </w:t>
      </w:r>
      <w:r>
        <w:rPr>
          <w:rFonts w:eastAsia="Arial" w:cs="Arial" w:ascii="Arial" w:hAnsi="Arial"/>
          <w:i/>
          <w:iCs/>
          <w:sz w:val="22"/>
          <w:szCs w:val="22"/>
        </w:rPr>
        <w:t>“Por medio del cual se reglamenta la administración y el aprovechamiento económico del espacio público en el Distrito Capital y se dictan otras disposiciones”.</w:t>
      </w:r>
      <w:r>
        <w:rPr>
          <w:rFonts w:eastAsia="Arial" w:cs="Arial" w:ascii="Arial" w:hAnsi="Arial"/>
          <w:sz w:val="22"/>
          <w:szCs w:val="22"/>
        </w:rPr>
        <w:t xml:space="preserve"> modificado por el Decreto 143 de 2024 y en consecuencia, modificar el artículo 23 de la Resolución 787 de 2023, el cual quedará así: </w:t>
      </w:r>
    </w:p>
    <w:p>
      <w:pPr>
        <w:pStyle w:val="Normal1"/>
        <w:spacing w:lineRule="auto" w:line="276"/>
        <w:jc w:val="both"/>
        <w:rPr>
          <w:rFonts w:ascii="Arial" w:hAnsi="Arial" w:eastAsia="Arial" w:cs="Arial"/>
          <w:sz w:val="22"/>
          <w:szCs w:val="22"/>
        </w:rPr>
      </w:pPr>
      <w:r>
        <w:rPr>
          <w:rFonts w:eastAsia="Arial" w:cs="Arial" w:ascii="Arial" w:hAnsi="Arial"/>
          <w:sz w:val="22"/>
          <w:szCs w:val="22"/>
        </w:rPr>
      </w:r>
    </w:p>
    <w:p>
      <w:pPr>
        <w:pStyle w:val="Normal1"/>
        <w:shd w:val="clear" w:color="auto" w:fill="FFFFFF"/>
        <w:spacing w:lineRule="auto" w:line="276"/>
        <w:ind w:left="720" w:hanging="0"/>
        <w:jc w:val="both"/>
        <w:rPr>
          <w:rFonts w:ascii="Arial" w:hAnsi="Arial" w:eastAsia="Arial" w:cs="Arial"/>
          <w:sz w:val="22"/>
          <w:szCs w:val="22"/>
        </w:rPr>
      </w:pPr>
      <w:r>
        <w:rPr>
          <w:rFonts w:eastAsia="Arial" w:cs="Arial" w:ascii="Arial" w:hAnsi="Arial"/>
          <w:sz w:val="22"/>
          <w:szCs w:val="22"/>
        </w:rPr>
        <w:t>”</w:t>
      </w:r>
      <w:r>
        <w:rPr>
          <w:rFonts w:eastAsia="Arial" w:cs="Arial" w:ascii="Arial" w:hAnsi="Arial"/>
          <w:sz w:val="22"/>
          <w:szCs w:val="22"/>
        </w:rPr>
        <w:t xml:space="preserve">Los lineamientos de esta Resolución serán implementados por la SCRD y el IDARTES, para lo cual tendrán doce (12) meses, contados a partir de la expedición del presente acto administrativo”. </w:t>
      </w:r>
    </w:p>
    <w:p>
      <w:pPr>
        <w:pStyle w:val="Normal1"/>
        <w:shd w:val="clear" w:color="auto" w:fill="FFFFFF"/>
        <w:spacing w:lineRule="auto" w:line="276"/>
        <w:ind w:left="720" w:hanging="0"/>
        <w:jc w:val="both"/>
        <w:rPr>
          <w:rFonts w:ascii="Arial" w:hAnsi="Arial" w:eastAsia="Arial" w:cs="Arial"/>
          <w:sz w:val="22"/>
          <w:szCs w:val="22"/>
        </w:rPr>
      </w:pPr>
      <w:r>
        <w:rPr>
          <w:rFonts w:eastAsia="Arial" w:cs="Arial" w:ascii="Arial" w:hAnsi="Arial"/>
          <w:sz w:val="22"/>
          <w:szCs w:val="22"/>
        </w:rPr>
      </w:r>
    </w:p>
    <w:p>
      <w:pPr>
        <w:pStyle w:val="Normal1"/>
        <w:widowControl w:val="false"/>
        <w:spacing w:lineRule="auto" w:line="276"/>
        <w:ind w:left="720" w:hanging="0"/>
        <w:jc w:val="both"/>
        <w:rPr>
          <w:rFonts w:ascii="Arial" w:hAnsi="Arial" w:eastAsia="Arial" w:cs="Arial"/>
          <w:sz w:val="22"/>
          <w:szCs w:val="22"/>
        </w:rPr>
      </w:pPr>
      <w:r>
        <w:rPr>
          <w:rFonts w:eastAsia="Arial" w:cs="Arial" w:ascii="Arial" w:hAnsi="Arial"/>
          <w:sz w:val="22"/>
          <w:szCs w:val="22"/>
        </w:rPr>
        <w:t>La SCRD tendrá máximo doce (12) meses contados a partir de la expedición de la presente Resolución, para actualizar, en los términos de los presentes lineamientos, los planes de manejo aprobados en el marco de la Resolución 634 de 2019 y presentarlos a la Comisión Intersectorial del Espacio Público para su aprobación.</w:t>
      </w:r>
    </w:p>
    <w:p>
      <w:pPr>
        <w:pStyle w:val="Normal1"/>
        <w:widowControl w:val="false"/>
        <w:spacing w:lineRule="auto" w:line="276"/>
        <w:ind w:left="720" w:hanging="0"/>
        <w:jc w:val="both"/>
        <w:rPr>
          <w:rFonts w:ascii="Arial" w:hAnsi="Arial" w:eastAsia="Arial" w:cs="Arial"/>
          <w:sz w:val="22"/>
          <w:szCs w:val="22"/>
        </w:rPr>
      </w:pPr>
      <w:r>
        <w:rPr>
          <w:rFonts w:eastAsia="Arial" w:cs="Arial" w:ascii="Arial" w:hAnsi="Arial"/>
          <w:sz w:val="22"/>
          <w:szCs w:val="22"/>
        </w:rPr>
      </w:r>
    </w:p>
    <w:p>
      <w:pPr>
        <w:pStyle w:val="Normal1"/>
        <w:widowControl w:val="false"/>
        <w:spacing w:lineRule="auto" w:line="276"/>
        <w:ind w:left="720" w:hanging="0"/>
        <w:jc w:val="both"/>
        <w:rPr>
          <w:rFonts w:ascii="Arial" w:hAnsi="Arial" w:eastAsia="Arial" w:cs="Arial"/>
          <w:sz w:val="22"/>
          <w:szCs w:val="22"/>
        </w:rPr>
      </w:pPr>
      <w:r>
        <w:rPr>
          <w:rFonts w:eastAsia="Arial" w:cs="Arial" w:ascii="Arial" w:hAnsi="Arial"/>
          <w:sz w:val="22"/>
          <w:szCs w:val="22"/>
        </w:rPr>
        <w:t xml:space="preserve">El Idartes tendrá máximo doce (12) meses contados a partir del día siguiente de la expedición del presente acto administrativo, para modificar, en los términos de los presentes lineamientos, la Resolución 1468 del 08 de noviembre de 2018 </w:t>
      </w:r>
      <w:r>
        <w:rPr>
          <w:rFonts w:eastAsia="Arial" w:cs="Arial" w:ascii="Arial" w:hAnsi="Arial"/>
          <w:i/>
          <w:sz w:val="22"/>
          <w:szCs w:val="22"/>
        </w:rPr>
        <w:t>“Por medio de la cual se adopta el protocolo para actividades artísticas en espacio público”</w:t>
      </w:r>
      <w:r>
        <w:rPr>
          <w:rFonts w:eastAsia="Arial" w:cs="Arial" w:ascii="Arial" w:hAnsi="Arial"/>
          <w:sz w:val="22"/>
          <w:szCs w:val="22"/>
        </w:rPr>
        <w:t>.</w:t>
      </w:r>
    </w:p>
    <w:p>
      <w:pPr>
        <w:pStyle w:val="Normal1"/>
        <w:widowControl w:val="false"/>
        <w:spacing w:lineRule="auto" w:line="276"/>
        <w:jc w:val="both"/>
        <w:rPr>
          <w:rFonts w:ascii="Arial" w:hAnsi="Arial" w:eastAsia="Arial" w:cs="Arial"/>
          <w:sz w:val="22"/>
          <w:szCs w:val="22"/>
        </w:rPr>
      </w:pPr>
      <w:r>
        <w:rPr>
          <w:rFonts w:eastAsia="Arial" w:cs="Arial" w:ascii="Arial" w:hAnsi="Arial"/>
          <w:sz w:val="22"/>
          <w:szCs w:val="22"/>
        </w:rPr>
      </w:r>
    </w:p>
    <w:p>
      <w:pPr>
        <w:pStyle w:val="Normal1"/>
        <w:widowControl w:val="false"/>
        <w:spacing w:lineRule="auto" w:line="276"/>
        <w:jc w:val="both"/>
        <w:rPr>
          <w:rFonts w:ascii="Arial" w:hAnsi="Arial" w:eastAsia="Arial" w:cs="Arial"/>
          <w:sz w:val="22"/>
          <w:szCs w:val="22"/>
        </w:rPr>
      </w:pPr>
      <w:r>
        <w:rPr>
          <w:rFonts w:eastAsia="Arial" w:cs="Arial" w:ascii="Arial" w:hAnsi="Arial"/>
          <w:sz w:val="22"/>
          <w:szCs w:val="22"/>
        </w:rPr>
        <w:t>La presente Resolución rige a partir de su publicación y contra ella no procede recurso alguno de la vía administrativa en los términos del artículo 75 de la Ley 1437 de 2011.</w:t>
      </w:r>
    </w:p>
    <w:p>
      <w:pPr>
        <w:pStyle w:val="Normal1"/>
        <w:widowControl w:val="false"/>
        <w:spacing w:lineRule="auto" w:line="276"/>
        <w:jc w:val="center"/>
        <w:rPr>
          <w:rFonts w:ascii="Arial" w:hAnsi="Arial" w:eastAsia="Arial" w:cs="Arial"/>
          <w:sz w:val="22"/>
          <w:szCs w:val="22"/>
        </w:rPr>
      </w:pPr>
      <w:r>
        <w:rPr>
          <w:rFonts w:eastAsia="Arial" w:cs="Arial" w:ascii="Arial" w:hAnsi="Arial"/>
          <w:sz w:val="22"/>
          <w:szCs w:val="22"/>
        </w:rPr>
      </w:r>
    </w:p>
    <w:p>
      <w:pPr>
        <w:pStyle w:val="Normal1"/>
        <w:widowControl w:val="false"/>
        <w:spacing w:lineRule="auto" w:line="276"/>
        <w:jc w:val="center"/>
        <w:rPr>
          <w:rFonts w:ascii="Arial" w:hAnsi="Arial" w:eastAsia="Arial" w:cs="Arial"/>
          <w:sz w:val="22"/>
          <w:szCs w:val="22"/>
        </w:rPr>
      </w:pPr>
      <w:r>
        <w:rPr>
          <w:rFonts w:eastAsia="Arial" w:cs="Arial" w:ascii="Arial" w:hAnsi="Arial"/>
          <w:sz w:val="22"/>
          <w:szCs w:val="22"/>
        </w:rPr>
      </w:r>
    </w:p>
    <w:p>
      <w:pPr>
        <w:pStyle w:val="Normal1"/>
        <w:widowControl w:val="false"/>
        <w:spacing w:lineRule="auto" w:line="276"/>
        <w:jc w:val="center"/>
        <w:rPr>
          <w:rFonts w:ascii="Arial" w:hAnsi="Arial" w:eastAsia="Arial" w:cs="Arial"/>
          <w:sz w:val="22"/>
          <w:szCs w:val="22"/>
        </w:rPr>
      </w:pPr>
      <w:r>
        <w:rPr>
          <w:rFonts w:eastAsia="Arial" w:cs="Arial" w:ascii="Arial" w:hAnsi="Arial"/>
          <w:sz w:val="22"/>
          <w:szCs w:val="22"/>
        </w:rPr>
        <w:t>PUBLÍQUESE, COMUNÍQUESE Y CÚMPLASE.</w:t>
      </w:r>
    </w:p>
    <w:p>
      <w:pPr>
        <w:pStyle w:val="Normal1"/>
        <w:widowControl w:val="false"/>
        <w:spacing w:lineRule="auto" w:line="276"/>
        <w:jc w:val="both"/>
        <w:rPr>
          <w:rFonts w:ascii="Arial" w:hAnsi="Arial" w:eastAsia="Arial" w:cs="Arial"/>
          <w:sz w:val="22"/>
          <w:szCs w:val="22"/>
        </w:rPr>
      </w:pPr>
      <w:r>
        <w:rPr>
          <w:rFonts w:eastAsia="Arial" w:cs="Arial" w:ascii="Arial" w:hAnsi="Arial"/>
          <w:sz w:val="22"/>
          <w:szCs w:val="22"/>
        </w:rPr>
      </w:r>
    </w:p>
    <w:p>
      <w:pPr>
        <w:pStyle w:val="Normal1"/>
        <w:widowControl w:val="false"/>
        <w:spacing w:lineRule="auto" w:line="276"/>
        <w:jc w:val="both"/>
        <w:rPr>
          <w:rFonts w:ascii="Arial" w:hAnsi="Arial" w:eastAsia="Arial" w:cs="Arial"/>
          <w:sz w:val="22"/>
          <w:szCs w:val="22"/>
        </w:rPr>
      </w:pPr>
      <w:r>
        <w:rPr>
          <w:rFonts w:eastAsia="Arial" w:cs="Arial" w:ascii="Arial" w:hAnsi="Arial"/>
          <w:sz w:val="22"/>
          <w:szCs w:val="22"/>
        </w:rPr>
      </w:r>
    </w:p>
    <w:p>
      <w:pPr>
        <w:pStyle w:val="Normal1"/>
        <w:widowControl w:val="false"/>
        <w:shd w:val="clear" w:color="auto" w:fill="FFFFFF"/>
        <w:spacing w:lineRule="auto" w:line="276"/>
        <w:jc w:val="both"/>
        <w:rPr>
          <w:rFonts w:ascii="Arial" w:hAnsi="Arial" w:eastAsia="Arial" w:cs="Arial"/>
          <w:sz w:val="22"/>
          <w:szCs w:val="22"/>
        </w:rPr>
      </w:pPr>
      <w:r>
        <w:rPr>
          <w:rFonts w:eastAsia="Arial" w:cs="Arial" w:ascii="Arial" w:hAnsi="Arial"/>
          <w:sz w:val="22"/>
          <w:szCs w:val="22"/>
        </w:rPr>
        <w:t>Dada en Bogotá, D.C., a los ___ días del mes de junio de 2024</w:t>
      </w:r>
    </w:p>
    <w:p>
      <w:pPr>
        <w:pStyle w:val="Normal1"/>
        <w:widowControl w:val="false"/>
        <w:shd w:val="clear" w:color="auto" w:fill="FFFFFF"/>
        <w:spacing w:lineRule="auto" w:line="276"/>
        <w:jc w:val="both"/>
        <w:rPr>
          <w:rFonts w:ascii="Arial" w:hAnsi="Arial" w:eastAsia="Arial" w:cs="Arial"/>
          <w:sz w:val="22"/>
          <w:szCs w:val="22"/>
        </w:rPr>
      </w:pPr>
      <w:r>
        <w:rPr>
          <w:rFonts w:eastAsia="Arial" w:cs="Arial" w:ascii="Arial" w:hAnsi="Arial"/>
          <w:sz w:val="22"/>
          <w:szCs w:val="22"/>
        </w:rPr>
      </w:r>
    </w:p>
    <w:p>
      <w:pPr>
        <w:pStyle w:val="Normal1"/>
        <w:widowControl w:val="false"/>
        <w:shd w:val="clear" w:color="auto" w:fill="FFFFFF"/>
        <w:spacing w:lineRule="auto" w:line="276"/>
        <w:jc w:val="center"/>
        <w:rPr>
          <w:rFonts w:ascii="Arial" w:hAnsi="Arial" w:eastAsia="Arial" w:cs="Arial"/>
          <w:b/>
          <w:b/>
          <w:sz w:val="22"/>
          <w:szCs w:val="22"/>
        </w:rPr>
      </w:pPr>
      <w:r>
        <w:rPr>
          <w:rFonts w:eastAsia="Arial" w:cs="Arial" w:ascii="Arial" w:hAnsi="Arial"/>
          <w:b/>
          <w:sz w:val="22"/>
          <w:szCs w:val="22"/>
        </w:rPr>
        <w:t xml:space="preserve"> </w:t>
      </w:r>
    </w:p>
    <w:p>
      <w:pPr>
        <w:pStyle w:val="Normal1"/>
        <w:widowControl w:val="false"/>
        <w:shd w:val="clear" w:color="auto" w:fill="FFFFFF"/>
        <w:spacing w:lineRule="auto" w:line="276"/>
        <w:jc w:val="center"/>
        <w:rPr>
          <w:rFonts w:ascii="Arial" w:hAnsi="Arial" w:eastAsia="Arial" w:cs="Arial"/>
          <w:b/>
          <w:b/>
          <w:sz w:val="22"/>
          <w:szCs w:val="22"/>
        </w:rPr>
      </w:pPr>
      <w:r>
        <w:rPr>
          <w:rFonts w:eastAsia="Arial" w:cs="Arial" w:ascii="Arial" w:hAnsi="Arial"/>
          <w:b/>
          <w:sz w:val="22"/>
          <w:szCs w:val="22"/>
        </w:rPr>
      </w:r>
    </w:p>
    <w:p>
      <w:pPr>
        <w:pStyle w:val="Normal1"/>
        <w:widowControl w:val="false"/>
        <w:shd w:val="clear" w:color="auto" w:fill="FFFFFF"/>
        <w:spacing w:lineRule="auto" w:line="276"/>
        <w:jc w:val="center"/>
        <w:rPr>
          <w:rFonts w:ascii="Arial" w:hAnsi="Arial" w:eastAsia="Arial" w:cs="Arial"/>
          <w:b/>
          <w:b/>
          <w:sz w:val="22"/>
          <w:szCs w:val="22"/>
        </w:rPr>
      </w:pPr>
      <w:r>
        <w:rPr>
          <w:rFonts w:eastAsia="Arial" w:cs="Arial" w:ascii="Arial" w:hAnsi="Arial"/>
          <w:b/>
          <w:sz w:val="22"/>
          <w:szCs w:val="22"/>
        </w:rPr>
      </w:r>
    </w:p>
    <w:p>
      <w:pPr>
        <w:pStyle w:val="Normal1"/>
        <w:widowControl w:val="false"/>
        <w:spacing w:lineRule="auto" w:line="276"/>
        <w:jc w:val="center"/>
        <w:rPr>
          <w:rFonts w:ascii="Arial" w:hAnsi="Arial" w:eastAsia="Arial" w:cs="Arial"/>
          <w:b/>
          <w:b/>
          <w:sz w:val="22"/>
          <w:szCs w:val="22"/>
        </w:rPr>
      </w:pPr>
      <w:r>
        <w:rPr>
          <w:rFonts w:eastAsia="Arial" w:cs="Arial" w:ascii="Arial" w:hAnsi="Arial"/>
          <w:b/>
          <w:sz w:val="22"/>
          <w:szCs w:val="22"/>
        </w:rPr>
        <w:t>SANTIAGO TRUJILLO ESCOBAR</w:t>
      </w:r>
    </w:p>
    <w:p>
      <w:pPr>
        <w:pStyle w:val="Normal1"/>
        <w:widowControl w:val="false"/>
        <w:shd w:val="clear" w:color="auto" w:fill="FFFFFF"/>
        <w:spacing w:lineRule="auto" w:line="276"/>
        <w:jc w:val="center"/>
        <w:rPr>
          <w:rFonts w:ascii="Arial" w:hAnsi="Arial" w:eastAsia="Arial" w:cs="Arial"/>
          <w:b/>
          <w:b/>
          <w:sz w:val="22"/>
          <w:szCs w:val="22"/>
        </w:rPr>
      </w:pPr>
      <w:r>
        <w:rPr>
          <w:rFonts w:eastAsia="Arial" w:cs="Arial" w:ascii="Arial" w:hAnsi="Arial"/>
          <w:b/>
          <w:sz w:val="22"/>
          <w:szCs w:val="22"/>
        </w:rPr>
        <w:t xml:space="preserve"> </w:t>
      </w:r>
      <w:r>
        <w:rPr>
          <w:rFonts w:eastAsia="Arial" w:cs="Arial" w:ascii="Arial" w:hAnsi="Arial"/>
          <w:b/>
          <w:sz w:val="22"/>
          <w:szCs w:val="22"/>
        </w:rPr>
        <w:t>Secretario de Despacho</w:t>
      </w:r>
    </w:p>
    <w:p>
      <w:pPr>
        <w:pStyle w:val="Normal1"/>
        <w:widowControl w:val="false"/>
        <w:shd w:val="clear" w:color="auto" w:fill="FFFFFF"/>
        <w:spacing w:lineRule="auto" w:line="276"/>
        <w:jc w:val="center"/>
        <w:rPr>
          <w:rFonts w:ascii="Arial" w:hAnsi="Arial" w:eastAsia="Arial" w:cs="Arial"/>
          <w:b/>
          <w:b/>
          <w:sz w:val="22"/>
          <w:szCs w:val="22"/>
        </w:rPr>
      </w:pPr>
      <w:r>
        <w:rPr>
          <w:rFonts w:eastAsia="Arial" w:cs="Arial" w:ascii="Arial" w:hAnsi="Arial"/>
          <w:b/>
          <w:sz w:val="22"/>
          <w:szCs w:val="22"/>
        </w:rPr>
        <w:t>Secretaría Distrital de Cultura, Recreación y Deporte</w:t>
      </w:r>
    </w:p>
    <w:p>
      <w:pPr>
        <w:pStyle w:val="Normal1"/>
        <w:widowControl w:val="false"/>
        <w:spacing w:lineRule="auto" w:line="276"/>
        <w:jc w:val="both"/>
        <w:rPr>
          <w:rFonts w:ascii="Arial" w:hAnsi="Arial" w:eastAsia="Arial" w:cs="Arial"/>
          <w:b/>
          <w:b/>
          <w:sz w:val="22"/>
          <w:szCs w:val="22"/>
        </w:rPr>
      </w:pPr>
      <w:r>
        <w:rPr>
          <w:rFonts w:eastAsia="Arial" w:cs="Arial" w:ascii="Arial" w:hAnsi="Arial"/>
          <w:b/>
          <w:sz w:val="22"/>
          <w:szCs w:val="22"/>
        </w:rPr>
      </w:r>
    </w:p>
    <w:p>
      <w:pPr>
        <w:pStyle w:val="Normal1"/>
        <w:widowControl w:val="false"/>
        <w:spacing w:lineRule="auto" w:line="276"/>
        <w:jc w:val="both"/>
        <w:rPr>
          <w:rFonts w:ascii="Arial" w:hAnsi="Arial" w:eastAsia="Arial" w:cs="Arial"/>
          <w:b/>
          <w:b/>
          <w:sz w:val="22"/>
          <w:szCs w:val="22"/>
        </w:rPr>
      </w:pPr>
      <w:r>
        <w:rPr>
          <w:rFonts w:eastAsia="Arial" w:cs="Arial" w:ascii="Arial" w:hAnsi="Arial"/>
          <w:b/>
          <w:sz w:val="22"/>
          <w:szCs w:val="22"/>
        </w:rPr>
      </w:r>
    </w:p>
    <w:p>
      <w:pPr>
        <w:pStyle w:val="Normal1"/>
        <w:widowControl w:val="false"/>
        <w:spacing w:lineRule="auto" w:line="276"/>
        <w:jc w:val="both"/>
        <w:rPr>
          <w:rFonts w:ascii="Arial" w:hAnsi="Arial" w:eastAsia="Arial" w:cs="Arial"/>
          <w:b/>
          <w:b/>
          <w:sz w:val="22"/>
          <w:szCs w:val="22"/>
        </w:rPr>
      </w:pPr>
      <w:r>
        <w:rPr>
          <w:rFonts w:eastAsia="Arial" w:cs="Arial" w:ascii="Arial" w:hAnsi="Arial"/>
          <w:b/>
          <w:sz w:val="22"/>
          <w:szCs w:val="22"/>
        </w:rPr>
      </w:r>
    </w:p>
    <w:p>
      <w:pPr>
        <w:pStyle w:val="Normal1"/>
        <w:widowControl w:val="false"/>
        <w:spacing w:lineRule="auto" w:line="276"/>
        <w:jc w:val="both"/>
        <w:rPr>
          <w:rFonts w:ascii="Arial" w:hAnsi="Arial" w:eastAsia="Arial" w:cs="Arial"/>
          <w:b/>
          <w:b/>
          <w:sz w:val="22"/>
          <w:szCs w:val="22"/>
        </w:rPr>
      </w:pPr>
      <w:r>
        <w:rPr>
          <w:rFonts w:eastAsia="Arial" w:cs="Arial" w:ascii="Arial" w:hAnsi="Arial"/>
          <w:b/>
          <w:sz w:val="22"/>
          <w:szCs w:val="22"/>
        </w:rPr>
      </w:r>
    </w:p>
    <w:p>
      <w:pPr>
        <w:pStyle w:val="Normal1"/>
        <w:widowControl w:val="false"/>
        <w:spacing w:lineRule="auto" w:line="276"/>
        <w:jc w:val="center"/>
        <w:rPr>
          <w:rFonts w:ascii="Arial" w:hAnsi="Arial" w:eastAsia="Arial" w:cs="Arial"/>
          <w:b/>
          <w:b/>
          <w:sz w:val="22"/>
          <w:szCs w:val="22"/>
        </w:rPr>
      </w:pPr>
      <w:r>
        <w:rPr>
          <w:rFonts w:eastAsia="Arial" w:cs="Arial" w:ascii="Arial" w:hAnsi="Arial"/>
          <w:b/>
          <w:sz w:val="22"/>
          <w:szCs w:val="22"/>
        </w:rPr>
        <w:t>MARIA CLAUDIA PARIAS DURÁN</w:t>
      </w:r>
    </w:p>
    <w:p>
      <w:pPr>
        <w:pStyle w:val="Normal1"/>
        <w:widowControl w:val="false"/>
        <w:spacing w:lineRule="auto" w:line="276"/>
        <w:jc w:val="center"/>
        <w:rPr>
          <w:rFonts w:ascii="Arial" w:hAnsi="Arial" w:eastAsia="Arial" w:cs="Arial"/>
          <w:b/>
          <w:b/>
          <w:sz w:val="22"/>
          <w:szCs w:val="22"/>
        </w:rPr>
      </w:pPr>
      <w:r>
        <w:rPr>
          <w:rFonts w:eastAsia="Arial" w:cs="Arial" w:ascii="Arial" w:hAnsi="Arial"/>
          <w:b/>
          <w:sz w:val="22"/>
          <w:szCs w:val="22"/>
        </w:rPr>
        <w:t>Directora General</w:t>
      </w:r>
    </w:p>
    <w:p>
      <w:pPr>
        <w:pStyle w:val="Normal1"/>
        <w:widowControl w:val="false"/>
        <w:spacing w:lineRule="auto" w:line="276"/>
        <w:jc w:val="center"/>
        <w:rPr>
          <w:rFonts w:ascii="Arial" w:hAnsi="Arial" w:eastAsia="Arial" w:cs="Arial"/>
          <w:b/>
          <w:b/>
          <w:sz w:val="22"/>
          <w:szCs w:val="22"/>
        </w:rPr>
      </w:pPr>
      <w:r>
        <w:rPr>
          <w:rFonts w:eastAsia="Arial" w:cs="Arial" w:ascii="Arial" w:hAnsi="Arial"/>
          <w:b/>
          <w:sz w:val="22"/>
          <w:szCs w:val="22"/>
        </w:rPr>
        <w:t>Instituto Distrital de las Artes</w:t>
      </w:r>
    </w:p>
    <w:p>
      <w:pPr>
        <w:pStyle w:val="Normal1"/>
        <w:widowControl w:val="false"/>
        <w:spacing w:lineRule="auto" w:line="276"/>
        <w:jc w:val="center"/>
        <w:rPr>
          <w:rFonts w:ascii="Arial" w:hAnsi="Arial" w:eastAsia="Arial" w:cs="Arial"/>
          <w:b/>
          <w:b/>
          <w:sz w:val="22"/>
          <w:szCs w:val="22"/>
        </w:rPr>
      </w:pPr>
      <w:r>
        <w:rPr>
          <w:rFonts w:eastAsia="Arial" w:cs="Arial" w:ascii="Arial" w:hAnsi="Arial"/>
          <w:b/>
          <w:sz w:val="22"/>
          <w:szCs w:val="22"/>
        </w:rPr>
      </w:r>
    </w:p>
    <w:p>
      <w:pPr>
        <w:pStyle w:val="Normal1"/>
        <w:widowControl w:val="false"/>
        <w:spacing w:lineRule="auto" w:line="276"/>
        <w:jc w:val="center"/>
        <w:rPr>
          <w:rFonts w:ascii="Arial" w:hAnsi="Arial" w:eastAsia="Arial" w:cs="Arial"/>
          <w:b/>
          <w:b/>
          <w:sz w:val="22"/>
          <w:szCs w:val="22"/>
        </w:rPr>
      </w:pPr>
      <w:r>
        <w:rPr>
          <w:rFonts w:eastAsia="Arial" w:cs="Arial" w:ascii="Arial" w:hAnsi="Arial"/>
          <w:b/>
          <w:sz w:val="22"/>
          <w:szCs w:val="22"/>
        </w:rPr>
      </w:r>
    </w:p>
    <w:p>
      <w:pPr>
        <w:pStyle w:val="Normal1"/>
        <w:widowControl w:val="false"/>
        <w:spacing w:lineRule="auto" w:line="276"/>
        <w:jc w:val="both"/>
        <w:rPr>
          <w:rFonts w:ascii="Arial" w:hAnsi="Arial" w:eastAsia="Arial" w:cs="Arial"/>
          <w:sz w:val="22"/>
          <w:szCs w:val="22"/>
        </w:rPr>
      </w:pPr>
      <w:r>
        <w:rPr>
          <w:rFonts w:eastAsia="Arial" w:cs="Arial" w:ascii="Arial" w:hAnsi="Arial"/>
          <w:sz w:val="22"/>
          <w:szCs w:val="22"/>
        </w:rPr>
      </w:r>
    </w:p>
    <w:p>
      <w:pPr>
        <w:pStyle w:val="Normal1"/>
        <w:widowControl w:val="false"/>
        <w:spacing w:lineRule="auto" w:line="276"/>
        <w:jc w:val="both"/>
        <w:rPr>
          <w:rFonts w:ascii="Arial" w:hAnsi="Arial" w:eastAsia="Arial" w:cs="Arial"/>
          <w:sz w:val="18"/>
          <w:szCs w:val="18"/>
        </w:rPr>
      </w:pPr>
      <w:r>
        <w:rPr>
          <w:rFonts w:eastAsia="Arial" w:cs="Arial" w:ascii="Arial" w:hAnsi="Arial"/>
          <w:sz w:val="18"/>
          <w:szCs w:val="18"/>
        </w:rPr>
        <w:t>Proyectó: Jorge Uricoechea Flórez - Contratista - Subdirección de Gestión Cultural y Artística – SCRD</w:t>
      </w:r>
    </w:p>
    <w:p>
      <w:pPr>
        <w:pStyle w:val="Normal1"/>
        <w:widowControl w:val="false"/>
        <w:spacing w:lineRule="auto" w:line="276"/>
        <w:jc w:val="both"/>
        <w:rPr>
          <w:rFonts w:ascii="Arial" w:hAnsi="Arial" w:eastAsia="Arial" w:cs="Arial"/>
          <w:sz w:val="18"/>
          <w:szCs w:val="18"/>
        </w:rPr>
      </w:pPr>
      <w:r>
        <w:rPr>
          <w:rFonts w:eastAsia="Arial" w:cs="Arial" w:ascii="Arial" w:hAnsi="Arial"/>
          <w:sz w:val="18"/>
          <w:szCs w:val="18"/>
        </w:rPr>
        <w:tab/>
        <w:t xml:space="preserve">  Eduardo Meza Cuesta - Contratista - Subdirección de Gestión Cultural y Artística - SCRD</w:t>
      </w:r>
    </w:p>
    <w:p>
      <w:pPr>
        <w:pStyle w:val="Normal1"/>
        <w:widowControl w:val="false"/>
        <w:spacing w:lineRule="auto" w:line="276"/>
        <w:jc w:val="both"/>
        <w:rPr>
          <w:rFonts w:ascii="Arial" w:hAnsi="Arial" w:eastAsia="Arial" w:cs="Arial"/>
          <w:sz w:val="18"/>
          <w:szCs w:val="18"/>
        </w:rPr>
      </w:pPr>
      <w:r>
        <w:rPr>
          <w:rFonts w:eastAsia="Arial" w:cs="Arial" w:ascii="Arial" w:hAnsi="Arial"/>
          <w:sz w:val="18"/>
          <w:szCs w:val="18"/>
        </w:rPr>
        <w:t xml:space="preserve">                 </w:t>
      </w:r>
      <w:r>
        <w:rPr>
          <w:rFonts w:eastAsia="Arial" w:cs="Arial" w:ascii="Arial" w:hAnsi="Arial"/>
          <w:sz w:val="18"/>
          <w:szCs w:val="18"/>
        </w:rPr>
        <w:t xml:space="preserve">Lía Cabarcas - Contratista - Dirección de Arte, Cultura y Patrimonio SCRD    </w:t>
      </w:r>
    </w:p>
    <w:p>
      <w:pPr>
        <w:pStyle w:val="Normal1"/>
        <w:widowControl w:val="false"/>
        <w:spacing w:lineRule="auto" w:line="276"/>
        <w:jc w:val="both"/>
        <w:rPr>
          <w:rFonts w:ascii="Arial" w:hAnsi="Arial" w:eastAsia="Arial" w:cs="Arial"/>
          <w:sz w:val="18"/>
          <w:szCs w:val="18"/>
        </w:rPr>
      </w:pPr>
      <w:r>
        <w:rPr>
          <w:rFonts w:eastAsia="Arial" w:cs="Arial" w:ascii="Arial" w:hAnsi="Arial"/>
          <w:sz w:val="18"/>
          <w:szCs w:val="18"/>
        </w:rPr>
        <w:t xml:space="preserve">Revisó: </w:t>
        <w:tab/>
        <w:t>Diana María Muñoz - Profesional especializado - Subdirección de Gestión Cultural y Artística - SCRD</w:t>
      </w:r>
    </w:p>
    <w:p>
      <w:pPr>
        <w:pStyle w:val="Normal1"/>
        <w:widowControl w:val="false"/>
        <w:spacing w:lineRule="auto" w:line="276"/>
        <w:jc w:val="both"/>
        <w:rPr>
          <w:rFonts w:ascii="Arial" w:hAnsi="Arial" w:eastAsia="Arial" w:cs="Arial"/>
          <w:sz w:val="18"/>
          <w:szCs w:val="18"/>
        </w:rPr>
      </w:pPr>
      <w:r>
        <w:rPr>
          <w:rFonts w:eastAsia="Arial" w:cs="Arial" w:ascii="Arial" w:hAnsi="Arial"/>
          <w:sz w:val="18"/>
          <w:szCs w:val="18"/>
        </w:rPr>
        <w:t xml:space="preserve">             </w:t>
      </w:r>
      <w:r>
        <w:rPr>
          <w:rFonts w:eastAsia="Arial" w:cs="Arial" w:ascii="Arial" w:hAnsi="Arial"/>
          <w:sz w:val="18"/>
          <w:szCs w:val="18"/>
        </w:rPr>
        <w:tab/>
        <w:t>Laura Puentes- Contratista - Dirección de Arte, Cultura y Patrimonio SCRD</w:t>
      </w:r>
    </w:p>
    <w:p>
      <w:pPr>
        <w:pStyle w:val="Normal1"/>
        <w:widowControl w:val="false"/>
        <w:spacing w:lineRule="auto" w:line="276"/>
        <w:jc w:val="both"/>
        <w:rPr>
          <w:rFonts w:ascii="Arial" w:hAnsi="Arial" w:eastAsia="Arial" w:cs="Arial"/>
          <w:sz w:val="18"/>
          <w:szCs w:val="18"/>
        </w:rPr>
      </w:pPr>
      <w:r>
        <w:rPr>
          <w:rFonts w:eastAsia="Arial" w:cs="Arial" w:ascii="Arial" w:hAnsi="Arial"/>
          <w:sz w:val="18"/>
          <w:szCs w:val="18"/>
        </w:rPr>
        <w:t xml:space="preserve">Aprobó: </w:t>
        <w:tab/>
        <w:t>Leonardo Garzón Ortíz– Director de Arte, Cultura y Patrimonio - SCRD</w:t>
      </w:r>
    </w:p>
    <w:p>
      <w:pPr>
        <w:pStyle w:val="Normal1"/>
        <w:widowControl w:val="false"/>
        <w:spacing w:lineRule="auto" w:line="276"/>
        <w:jc w:val="both"/>
        <w:rPr>
          <w:rFonts w:ascii="Arial" w:hAnsi="Arial" w:eastAsia="Arial" w:cs="Arial"/>
          <w:sz w:val="18"/>
          <w:szCs w:val="18"/>
        </w:rPr>
      </w:pPr>
      <w:r>
        <w:rPr>
          <w:rFonts w:eastAsia="Arial" w:cs="Arial" w:ascii="Arial" w:hAnsi="Arial"/>
          <w:sz w:val="18"/>
          <w:szCs w:val="18"/>
        </w:rPr>
        <w:t xml:space="preserve">              </w:t>
      </w:r>
      <w:r>
        <w:rPr>
          <w:rFonts w:eastAsia="Arial" w:cs="Arial" w:ascii="Arial" w:hAnsi="Arial"/>
          <w:sz w:val="18"/>
          <w:szCs w:val="18"/>
        </w:rPr>
        <w:tab/>
        <w:t xml:space="preserve">Yolanda López Correal - Subdirectora de Gestión Cultural y Artística                                </w:t>
      </w:r>
    </w:p>
    <w:p>
      <w:pPr>
        <w:pStyle w:val="Normal1"/>
        <w:widowControl w:val="false"/>
        <w:spacing w:lineRule="auto" w:line="276"/>
        <w:jc w:val="both"/>
        <w:rPr>
          <w:rFonts w:ascii="Arial" w:hAnsi="Arial" w:eastAsia="Arial" w:cs="Arial"/>
          <w:sz w:val="18"/>
          <w:szCs w:val="18"/>
        </w:rPr>
      </w:pPr>
      <w:r>
        <w:rPr>
          <w:rFonts w:eastAsia="Arial" w:cs="Arial" w:ascii="Arial" w:hAnsi="Arial"/>
          <w:sz w:val="18"/>
          <w:szCs w:val="18"/>
        </w:rPr>
        <w:t xml:space="preserve">Revisión jurídica: </w:t>
        <w:tab/>
        <w:t>Sandra Margoth Vélez Abello- Jefe Oficina Jurídica - SCRD</w:t>
      </w:r>
    </w:p>
    <w:p>
      <w:pPr>
        <w:pStyle w:val="Normal1"/>
        <w:widowControl w:val="false"/>
        <w:spacing w:lineRule="auto" w:line="276"/>
        <w:jc w:val="both"/>
        <w:rPr>
          <w:rFonts w:ascii="Arial" w:hAnsi="Arial" w:eastAsia="Arial" w:cs="Arial"/>
          <w:sz w:val="18"/>
          <w:szCs w:val="18"/>
        </w:rPr>
      </w:pPr>
      <w:r>
        <w:rPr>
          <w:rFonts w:eastAsia="Arial" w:cs="Arial" w:ascii="Arial" w:hAnsi="Arial"/>
          <w:sz w:val="18"/>
          <w:szCs w:val="18"/>
        </w:rPr>
      </w:r>
    </w:p>
    <w:p>
      <w:pPr>
        <w:pStyle w:val="Normal1"/>
        <w:widowControl w:val="false"/>
        <w:spacing w:lineRule="auto" w:line="276"/>
        <w:jc w:val="both"/>
        <w:rPr>
          <w:rFonts w:ascii="Arial" w:hAnsi="Arial" w:eastAsia="Arial" w:cs="Arial"/>
          <w:sz w:val="18"/>
          <w:szCs w:val="18"/>
        </w:rPr>
      </w:pPr>
      <w:r>
        <w:rPr>
          <w:rFonts w:eastAsia="Arial" w:cs="Arial" w:ascii="Arial" w:hAnsi="Arial"/>
          <w:sz w:val="18"/>
          <w:szCs w:val="18"/>
        </w:rPr>
      </w:r>
    </w:p>
    <w:p>
      <w:pPr>
        <w:pStyle w:val="Normal1"/>
        <w:widowControl w:val="false"/>
        <w:spacing w:lineRule="auto" w:line="276"/>
        <w:jc w:val="both"/>
        <w:rPr>
          <w:rFonts w:ascii="Arial" w:hAnsi="Arial" w:eastAsia="Arial" w:cs="Arial"/>
          <w:sz w:val="18"/>
          <w:szCs w:val="18"/>
        </w:rPr>
      </w:pPr>
      <w:r>
        <w:rPr>
          <w:rFonts w:eastAsia="Arial" w:cs="Arial" w:ascii="Arial" w:hAnsi="Arial"/>
          <w:sz w:val="18"/>
          <w:szCs w:val="18"/>
        </w:rPr>
        <w:t xml:space="preserve">Revisó: </w:t>
        <w:tab/>
        <w:t xml:space="preserve">Daniel Sánchez - Contratista Subdirección de las Artes </w:t>
      </w:r>
    </w:p>
    <w:p>
      <w:pPr>
        <w:pStyle w:val="Normal1"/>
        <w:widowControl w:val="false"/>
        <w:spacing w:lineRule="auto" w:line="276"/>
        <w:jc w:val="both"/>
        <w:rPr>
          <w:rFonts w:ascii="Arial" w:hAnsi="Arial" w:eastAsia="Arial" w:cs="Arial"/>
          <w:sz w:val="18"/>
          <w:szCs w:val="18"/>
        </w:rPr>
      </w:pPr>
      <w:r>
        <w:rPr>
          <w:rFonts w:eastAsia="Arial" w:cs="Arial" w:ascii="Arial" w:hAnsi="Arial"/>
          <w:sz w:val="18"/>
          <w:szCs w:val="18"/>
        </w:rPr>
        <w:t xml:space="preserve">Revisó: </w:t>
        <w:tab/>
        <w:t xml:space="preserve">Nidia Rocío Díaz Casas - Contratista Subdirección de las Artes </w:t>
      </w:r>
    </w:p>
    <w:p>
      <w:pPr>
        <w:pStyle w:val="Normal1"/>
        <w:widowControl w:val="false"/>
        <w:spacing w:lineRule="auto" w:line="276"/>
        <w:jc w:val="both"/>
        <w:rPr>
          <w:rFonts w:ascii="Arial" w:hAnsi="Arial" w:eastAsia="Arial" w:cs="Arial"/>
          <w:sz w:val="18"/>
          <w:szCs w:val="18"/>
        </w:rPr>
      </w:pPr>
      <w:r>
        <w:rPr>
          <w:rFonts w:eastAsia="Arial" w:cs="Arial" w:ascii="Arial" w:hAnsi="Arial"/>
          <w:sz w:val="18"/>
          <w:szCs w:val="18"/>
        </w:rPr>
        <w:t xml:space="preserve">Revisó: </w:t>
        <w:tab/>
        <w:t>Nydia Janette Moreno Buitrago – Contratista Oficina Asesora Jurídica</w:t>
      </w:r>
    </w:p>
    <w:p>
      <w:pPr>
        <w:pStyle w:val="Normal1"/>
        <w:widowControl w:val="false"/>
        <w:spacing w:lineRule="auto" w:line="276"/>
        <w:jc w:val="both"/>
        <w:rPr>
          <w:rFonts w:ascii="Arial" w:hAnsi="Arial" w:eastAsia="Arial" w:cs="Arial"/>
          <w:sz w:val="18"/>
          <w:szCs w:val="18"/>
        </w:rPr>
      </w:pPr>
      <w:r>
        <w:rPr>
          <w:rFonts w:eastAsia="Arial" w:cs="Arial" w:ascii="Arial" w:hAnsi="Arial"/>
          <w:sz w:val="18"/>
          <w:szCs w:val="18"/>
        </w:rPr>
        <w:t xml:space="preserve">Aprobó: </w:t>
        <w:tab/>
        <w:t>Lina Gaviria - Subdirectora de las Artes – Idartes</w:t>
      </w:r>
    </w:p>
    <w:p>
      <w:pPr>
        <w:pStyle w:val="Normal1"/>
        <w:widowControl w:val="false"/>
        <w:spacing w:lineRule="auto" w:line="276"/>
        <w:jc w:val="both"/>
        <w:rPr>
          <w:rFonts w:ascii="Arial" w:hAnsi="Arial" w:eastAsia="Arial" w:cs="Arial"/>
          <w:sz w:val="18"/>
          <w:szCs w:val="18"/>
        </w:rPr>
      </w:pPr>
      <w:r>
        <w:rPr>
          <w:rFonts w:eastAsia="Arial" w:cs="Arial" w:ascii="Arial" w:hAnsi="Arial"/>
          <w:sz w:val="18"/>
          <w:szCs w:val="18"/>
        </w:rPr>
        <w:t xml:space="preserve">RevisiónJurídica: </w:t>
        <w:tab/>
        <w:t xml:space="preserve">Heidy Yobanna Moreno Moreno - Jefe Oficina Asesora Jurídica Idartes </w:t>
      </w:r>
    </w:p>
    <w:p>
      <w:pPr>
        <w:pStyle w:val="Normal1"/>
        <w:widowControl w:val="false"/>
        <w:spacing w:lineRule="auto" w:line="276"/>
        <w:jc w:val="both"/>
        <w:rPr>
          <w:rFonts w:ascii="Arial" w:hAnsi="Arial" w:eastAsia="Arial" w:cs="Arial"/>
          <w:sz w:val="18"/>
          <w:szCs w:val="18"/>
        </w:rPr>
      </w:pPr>
      <w:r>
        <w:rPr>
          <w:rFonts w:eastAsia="Arial" w:cs="Arial" w:ascii="Arial" w:hAnsi="Arial"/>
          <w:sz w:val="18"/>
          <w:szCs w:val="18"/>
        </w:rPr>
        <w:t xml:space="preserve">     </w:t>
      </w:r>
    </w:p>
    <w:p>
      <w:pPr>
        <w:pStyle w:val="Normal1"/>
        <w:widowControl w:val="false"/>
        <w:spacing w:lineRule="auto" w:line="276"/>
        <w:jc w:val="both"/>
        <w:rPr>
          <w:rFonts w:ascii="Arial" w:hAnsi="Arial" w:eastAsia="Arial" w:cs="Arial"/>
          <w:sz w:val="18"/>
          <w:szCs w:val="18"/>
        </w:rPr>
      </w:pPr>
      <w:r>
        <w:rPr>
          <w:rFonts w:eastAsia="Arial" w:cs="Arial" w:ascii="Arial" w:hAnsi="Arial"/>
          <w:sz w:val="18"/>
          <w:szCs w:val="18"/>
        </w:rPr>
        <w:t xml:space="preserve">                </w:t>
      </w:r>
    </w:p>
    <w:p>
      <w:pPr>
        <w:pStyle w:val="Normal1"/>
        <w:tabs>
          <w:tab w:val="clear" w:pos="720"/>
          <w:tab w:val="left" w:pos="2135" w:leader="none"/>
        </w:tabs>
        <w:spacing w:lineRule="auto" w:line="276"/>
        <w:rPr/>
      </w:pPr>
      <w:r>
        <w:rPr/>
      </w:r>
    </w:p>
    <w:sectPr>
      <w:headerReference w:type="default" r:id="rId2"/>
      <w:footerReference w:type="default" r:id="rId3"/>
      <w:type w:val="nextPage"/>
      <w:pgSz w:w="12240" w:h="15840"/>
      <w:pgMar w:left="1701" w:right="1701" w:header="567" w:top="1417" w:footer="624" w:bottom="1417"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 w:name="Arial">
    <w:charset w:val="00"/>
    <w:family w:val="roman"/>
    <w:pitch w:val="variable"/>
  </w:font>
  <w:font w:name="Code3of9">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widowControl w:val="false"/>
      <w:spacing w:lineRule="auto" w:line="276"/>
      <w:rPr>
        <w:rFonts w:ascii="Arial" w:hAnsi="Arial" w:eastAsia="Arial" w:cs="Arial"/>
        <w:color w:val="000000"/>
        <w:sz w:val="8"/>
        <w:szCs w:val="8"/>
      </w:rPr>
    </w:pPr>
    <w:r>
      <w:rPr>
        <w:rFonts w:eastAsia="Arial" w:cs="Arial" w:ascii="Arial" w:hAnsi="Arial"/>
        <w:color w:val="000000"/>
        <w:sz w:val="8"/>
        <w:szCs w:val="8"/>
      </w:rPr>
    </w:r>
  </w:p>
  <w:tbl>
    <w:tblPr>
      <w:tblW w:w="8838" w:type="dxa"/>
      <w:jc w:val="left"/>
      <w:tblInd w:w="0" w:type="dxa"/>
      <w:tblCellMar>
        <w:top w:w="0" w:type="dxa"/>
        <w:left w:w="108" w:type="dxa"/>
        <w:bottom w:w="0" w:type="dxa"/>
        <w:right w:w="108" w:type="dxa"/>
      </w:tblCellMar>
      <w:tblLook w:firstRow="0" w:noVBand="1" w:lastRow="0" w:firstColumn="0" w:lastColumn="0" w:noHBand="0" w:val="0400"/>
    </w:tblPr>
    <w:tblGrid>
      <w:gridCol w:w="3520"/>
      <w:gridCol w:w="1158"/>
      <w:gridCol w:w="2988"/>
      <w:gridCol w:w="1171"/>
    </w:tblGrid>
    <w:tr>
      <w:trPr/>
      <w:tc>
        <w:tcPr>
          <w:tcW w:w="3520" w:type="dxa"/>
          <w:tcBorders/>
          <w:shd w:fill="auto" w:val="clear"/>
        </w:tcPr>
        <w:p>
          <w:pPr>
            <w:pStyle w:val="Normal1"/>
            <w:tabs>
              <w:tab w:val="clear" w:pos="720"/>
              <w:tab w:val="center" w:pos="4419" w:leader="none"/>
              <w:tab w:val="right" w:pos="8838" w:leader="none"/>
            </w:tabs>
            <w:rPr>
              <w:color w:val="000000"/>
              <w:sz w:val="18"/>
              <w:szCs w:val="18"/>
            </w:rPr>
          </w:pPr>
          <w:r>
            <w:rPr>
              <w:color w:val="000000"/>
              <w:sz w:val="18"/>
              <w:szCs w:val="18"/>
            </w:rPr>
            <w:t>Carrera 8ª No. 9 - 83 Centro</w:t>
          </w:r>
        </w:p>
        <w:p>
          <w:pPr>
            <w:pStyle w:val="Normal1"/>
            <w:tabs>
              <w:tab w:val="clear" w:pos="720"/>
              <w:tab w:val="center" w:pos="4419" w:leader="none"/>
              <w:tab w:val="right" w:pos="8838" w:leader="none"/>
            </w:tabs>
            <w:rPr>
              <w:color w:val="000000"/>
              <w:sz w:val="18"/>
              <w:szCs w:val="18"/>
            </w:rPr>
          </w:pPr>
          <w:r>
            <w:rPr>
              <w:color w:val="000000"/>
              <w:sz w:val="18"/>
              <w:szCs w:val="18"/>
            </w:rPr>
            <w:t>Tel. 3274850</w:t>
          </w:r>
        </w:p>
        <w:p>
          <w:pPr>
            <w:pStyle w:val="Normal1"/>
            <w:tabs>
              <w:tab w:val="clear" w:pos="720"/>
              <w:tab w:val="center" w:pos="4419" w:leader="none"/>
              <w:tab w:val="right" w:pos="8838" w:leader="none"/>
            </w:tabs>
            <w:rPr>
              <w:color w:val="000000"/>
              <w:sz w:val="18"/>
              <w:szCs w:val="18"/>
            </w:rPr>
          </w:pPr>
          <w:r>
            <w:rPr>
              <w:color w:val="000000"/>
              <w:sz w:val="18"/>
              <w:szCs w:val="18"/>
            </w:rPr>
            <w:t>Código Postal: 111711</w:t>
          </w:r>
        </w:p>
        <w:p>
          <w:pPr>
            <w:pStyle w:val="Normal1"/>
            <w:tabs>
              <w:tab w:val="clear" w:pos="720"/>
              <w:tab w:val="center" w:pos="4419" w:leader="none"/>
              <w:tab w:val="right" w:pos="8838" w:leader="none"/>
            </w:tabs>
            <w:rPr/>
          </w:pPr>
          <w:hyperlink r:id="rId1">
            <w:r>
              <w:rPr>
                <w:rStyle w:val="Style"/>
                <w:color w:val="0000FF"/>
                <w:sz w:val="18"/>
                <w:szCs w:val="18"/>
                <w:u w:val="single"/>
              </w:rPr>
              <w:t>www.culturarecreacionydeporte.gov.co</w:t>
            </w:r>
          </w:hyperlink>
        </w:p>
        <w:p>
          <w:pPr>
            <w:pStyle w:val="Normal1"/>
            <w:tabs>
              <w:tab w:val="clear" w:pos="720"/>
              <w:tab w:val="center" w:pos="4419" w:leader="none"/>
              <w:tab w:val="right" w:pos="8838" w:leader="none"/>
            </w:tabs>
            <w:rPr>
              <w:color w:val="000000"/>
            </w:rPr>
          </w:pPr>
          <w:r>
            <w:rPr>
              <w:color w:val="000000"/>
              <w:sz w:val="18"/>
              <w:szCs w:val="18"/>
            </w:rPr>
            <w:t>Información: Línea 195</w:t>
          </w:r>
        </w:p>
      </w:tc>
      <w:tc>
        <w:tcPr>
          <w:tcW w:w="1158" w:type="dxa"/>
          <w:tcBorders/>
          <w:shd w:fill="auto" w:val="clear"/>
        </w:tcPr>
        <w:p>
          <w:pPr>
            <w:pStyle w:val="Normal1"/>
            <w:rPr>
              <w:sz w:val="18"/>
              <w:szCs w:val="18"/>
            </w:rPr>
          </w:pPr>
          <w:r>
            <w:rPr>
              <w:sz w:val="18"/>
              <w:szCs w:val="18"/>
            </w:rPr>
          </w:r>
        </w:p>
        <w:p>
          <w:pPr>
            <w:pStyle w:val="Normal1"/>
            <w:rPr>
              <w:color w:val="595959"/>
              <w:sz w:val="12"/>
              <w:szCs w:val="12"/>
            </w:rPr>
          </w:pPr>
          <w:r>
            <w:rPr>
              <w:color w:val="595959"/>
              <w:sz w:val="12"/>
              <w:szCs w:val="12"/>
            </w:rPr>
            <w:t xml:space="preserve">      </w:t>
          </w:r>
        </w:p>
        <w:p>
          <w:pPr>
            <w:pStyle w:val="Normal1"/>
            <w:jc w:val="center"/>
            <w:rPr>
              <w:sz w:val="18"/>
              <w:szCs w:val="18"/>
            </w:rPr>
          </w:pPr>
          <w:r>
            <w:rPr>
              <w:sz w:val="18"/>
              <w:szCs w:val="18"/>
            </w:rPr>
          </w:r>
        </w:p>
      </w:tc>
      <w:tc>
        <w:tcPr>
          <w:tcW w:w="2988" w:type="dxa"/>
          <w:tcBorders/>
          <w:shd w:fill="auto" w:val="clear"/>
        </w:tcPr>
        <w:p>
          <w:pPr>
            <w:pStyle w:val="Normal1"/>
            <w:jc w:val="center"/>
            <w:rPr/>
          </w:pPr>
          <w:r>
            <w:rPr>
              <w:rFonts w:eastAsia="Arial" w:cs="Arial" w:ascii="Arial" w:hAnsi="Arial"/>
              <w:color w:val="000000"/>
              <w:sz w:val="14"/>
              <w:szCs w:val="14"/>
            </w:rPr>
            <w:t xml:space="preserve">Página </w:t>
          </w:r>
          <w:r>
            <w:rPr/>
            <w:fldChar w:fldCharType="begin"/>
          </w:r>
          <w:r>
            <w:rPr/>
            <w:instrText> PAGE </w:instrText>
          </w:r>
          <w:r>
            <w:rPr/>
            <w:fldChar w:fldCharType="separate"/>
          </w:r>
          <w:r>
            <w:rPr/>
            <w:t>7</w:t>
          </w:r>
          <w:r>
            <w:rPr/>
            <w:fldChar w:fldCharType="end"/>
          </w:r>
          <w:r>
            <w:rPr>
              <w:rFonts w:eastAsia="Arial" w:cs="Arial" w:ascii="Arial" w:hAnsi="Arial"/>
              <w:color w:val="000000"/>
              <w:sz w:val="14"/>
              <w:szCs w:val="14"/>
            </w:rPr>
            <w:t xml:space="preserve"> de </w:t>
          </w:r>
          <w:r>
            <w:rPr/>
            <w:fldChar w:fldCharType="begin"/>
          </w:r>
          <w:r>
            <w:rPr/>
            <w:instrText> NUMPAGES </w:instrText>
          </w:r>
          <w:r>
            <w:rPr/>
            <w:fldChar w:fldCharType="separate"/>
          </w:r>
          <w:r>
            <w:rPr/>
            <w:t>7</w:t>
          </w:r>
          <w:r>
            <w:rPr/>
            <w:fldChar w:fldCharType="end"/>
          </w:r>
        </w:p>
        <w:p>
          <w:pPr>
            <w:pStyle w:val="Normal1"/>
            <w:jc w:val="center"/>
            <w:rPr>
              <w:sz w:val="14"/>
              <w:szCs w:val="14"/>
            </w:rPr>
          </w:pPr>
          <w:r>
            <w:rPr>
              <w:rFonts w:eastAsia="Arial" w:cs="Arial" w:ascii="Arial" w:hAnsi="Arial"/>
              <w:sz w:val="14"/>
              <w:szCs w:val="14"/>
            </w:rPr>
            <w:t>GMC-MN-01-FR-05. V.1. 23/03/2023</w:t>
          </w:r>
        </w:p>
        <w:p>
          <w:pPr>
            <w:pStyle w:val="Normal1"/>
            <w:tabs>
              <w:tab w:val="clear" w:pos="720"/>
              <w:tab w:val="left" w:pos="1883" w:leader="none"/>
            </w:tabs>
            <w:rPr>
              <w:sz w:val="14"/>
              <w:szCs w:val="14"/>
            </w:rPr>
          </w:pPr>
          <w:r>
            <w:rPr>
              <w:sz w:val="14"/>
              <w:szCs w:val="14"/>
            </w:rPr>
          </w:r>
        </w:p>
      </w:tc>
      <w:tc>
        <w:tcPr>
          <w:tcW w:w="1171" w:type="dxa"/>
          <w:tcBorders/>
          <w:shd w:fill="auto" w:val="clear"/>
        </w:tcPr>
        <w:p>
          <w:pPr>
            <w:pStyle w:val="Normal1"/>
            <w:tabs>
              <w:tab w:val="clear" w:pos="720"/>
              <w:tab w:val="center" w:pos="4419" w:leader="none"/>
              <w:tab w:val="right" w:pos="8838" w:leader="none"/>
            </w:tabs>
            <w:jc w:val="center"/>
            <w:rPr>
              <w:color w:val="000000"/>
            </w:rPr>
          </w:pPr>
          <w:r>
            <w:rPr/>
            <w:drawing>
              <wp:inline distT="0" distB="0" distL="0" distR="0">
                <wp:extent cx="489585" cy="584835"/>
                <wp:effectExtent l="0" t="0" r="0" b="0"/>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
                        <pic:cNvPicPr>
                          <a:picLocks noChangeAspect="1" noChangeArrowheads="1"/>
                        </pic:cNvPicPr>
                      </pic:nvPicPr>
                      <pic:blipFill>
                        <a:blip r:embed="rId2"/>
                        <a:stretch>
                          <a:fillRect/>
                        </a:stretch>
                      </pic:blipFill>
                      <pic:spPr bwMode="auto">
                        <a:xfrm>
                          <a:off x="0" y="0"/>
                          <a:ext cx="489585" cy="584835"/>
                        </a:xfrm>
                        <a:prstGeom prst="rect">
                          <a:avLst/>
                        </a:prstGeom>
                      </pic:spPr>
                    </pic:pic>
                  </a:graphicData>
                </a:graphic>
              </wp:inline>
            </w:drawing>
          </w:r>
        </w:p>
        <w:p>
          <w:pPr>
            <w:pStyle w:val="Normal1"/>
            <w:tabs>
              <w:tab w:val="clear" w:pos="720"/>
              <w:tab w:val="center" w:pos="4419" w:leader="none"/>
              <w:tab w:val="right" w:pos="8838" w:leader="none"/>
            </w:tabs>
            <w:jc w:val="center"/>
            <w:rPr>
              <w:color w:val="000000"/>
              <w:sz w:val="12"/>
              <w:szCs w:val="12"/>
            </w:rPr>
          </w:pPr>
          <w:r>
            <w:rPr>
              <w:color w:val="000000"/>
              <w:sz w:val="12"/>
              <w:szCs w:val="12"/>
            </w:rPr>
            <w:t>ALCALDÍA MAYOR</w:t>
          </w:r>
        </w:p>
        <w:p>
          <w:pPr>
            <w:pStyle w:val="Normal1"/>
            <w:tabs>
              <w:tab w:val="clear" w:pos="720"/>
              <w:tab w:val="center" w:pos="4419" w:leader="none"/>
              <w:tab w:val="right" w:pos="8838" w:leader="none"/>
            </w:tabs>
            <w:jc w:val="center"/>
            <w:rPr>
              <w:color w:val="000000"/>
            </w:rPr>
          </w:pPr>
          <w:r>
            <w:rPr>
              <w:color w:val="000000"/>
              <w:sz w:val="12"/>
              <w:szCs w:val="12"/>
            </w:rPr>
            <w:t>DE BOGOTÁ D.C.</w:t>
          </w:r>
        </w:p>
      </w:tc>
    </w:tr>
  </w:tbl>
  <w:p>
    <w:pPr>
      <w:pStyle w:val="Normal1"/>
      <w:tabs>
        <w:tab w:val="clear" w:pos="720"/>
        <w:tab w:val="center" w:pos="4419" w:leader="none"/>
        <w:tab w:val="right" w:pos="8838" w:leader="none"/>
      </w:tabs>
      <w:rPr>
        <w:color w:val="000000"/>
        <w:sz w:val="10"/>
        <w:szCs w:val="10"/>
      </w:rPr>
    </w:pPr>
    <w:r>
      <w:rPr>
        <w:color w:val="000000"/>
        <w:sz w:val="10"/>
        <w:szCs w:val="1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widowControl w:val="false"/>
      <w:spacing w:lineRule="auto" w:line="276"/>
      <w:rPr>
        <w:rFonts w:ascii="Arial" w:hAnsi="Arial" w:eastAsia="Arial" w:cs="Arial"/>
        <w:sz w:val="22"/>
        <w:szCs w:val="22"/>
      </w:rPr>
    </w:pPr>
    <w:r>
      <w:rPr>
        <w:rFonts w:eastAsia="Arial" w:cs="Arial" w:ascii="Arial" w:hAnsi="Arial"/>
        <w:sz w:val="22"/>
        <w:szCs w:val="22"/>
      </w:rPr>
    </w:r>
  </w:p>
  <w:tbl>
    <w:tblPr>
      <w:tblW w:w="8838" w:type="dxa"/>
      <w:jc w:val="left"/>
      <w:tblInd w:w="0" w:type="dxa"/>
      <w:tblCellMar>
        <w:top w:w="0" w:type="dxa"/>
        <w:left w:w="108" w:type="dxa"/>
        <w:bottom w:w="0" w:type="dxa"/>
        <w:right w:w="108" w:type="dxa"/>
      </w:tblCellMar>
      <w:tblLook w:firstRow="0" w:noVBand="1" w:lastRow="0" w:firstColumn="0" w:lastColumn="0" w:noHBand="0" w:val="0400"/>
    </w:tblPr>
    <w:tblGrid>
      <w:gridCol w:w="1556"/>
      <w:gridCol w:w="4542"/>
      <w:gridCol w:w="2740"/>
    </w:tblGrid>
    <w:tr>
      <w:trPr/>
      <w:tc>
        <w:tcPr>
          <w:tcW w:w="15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tabs>
              <w:tab w:val="clear" w:pos="720"/>
              <w:tab w:val="center" w:pos="4419" w:leader="none"/>
              <w:tab w:val="right" w:pos="8838" w:leader="none"/>
            </w:tabs>
            <w:jc w:val="center"/>
            <w:rPr>
              <w:color w:val="000000"/>
            </w:rPr>
          </w:pPr>
          <w:r>
            <w:rPr>
              <w:color w:val="000000"/>
            </w:rPr>
          </w:r>
        </w:p>
      </w:tc>
      <w:tc>
        <w:tcPr>
          <w:tcW w:w="45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tabs>
              <w:tab w:val="clear" w:pos="720"/>
              <w:tab w:val="center" w:pos="4419" w:leader="none"/>
              <w:tab w:val="right" w:pos="8838" w:leader="none"/>
            </w:tabs>
            <w:jc w:val="right"/>
            <w:rPr>
              <w:color w:val="000000"/>
            </w:rPr>
          </w:pPr>
          <w:r>
            <w:rPr/>
            <w:drawing>
              <wp:inline distT="0" distB="0" distL="0" distR="0">
                <wp:extent cx="2677160" cy="61531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2677160" cy="615315"/>
                        </a:xfrm>
                        <a:prstGeom prst="rect">
                          <a:avLst/>
                        </a:prstGeom>
                      </pic:spPr>
                    </pic:pic>
                  </a:graphicData>
                </a:graphic>
              </wp:inline>
            </w:drawing>
          </w:r>
        </w:p>
      </w:tc>
      <w:tc>
        <w:tcPr>
          <w:tcW w:w="27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tabs>
              <w:tab w:val="clear" w:pos="720"/>
              <w:tab w:val="left" w:pos="1485" w:leader="none"/>
            </w:tabs>
            <w:jc w:val="right"/>
            <w:rPr>
              <w:rFonts w:ascii="Code3of9" w:hAnsi="Code3of9" w:eastAsia="Code3of9" w:cs="Code3of9"/>
              <w:sz w:val="26"/>
              <w:szCs w:val="26"/>
            </w:rPr>
          </w:pPr>
          <w:r>
            <w:rPr>
              <w:rFonts w:eastAsia="Code3of9" w:cs="Code3of9" w:ascii="Code3of9" w:hAnsi="Code3of9"/>
              <w:sz w:val="26"/>
              <w:szCs w:val="26"/>
            </w:rPr>
            <w:t>*RAD_S*</w:t>
          </w:r>
        </w:p>
        <w:p>
          <w:pPr>
            <w:pStyle w:val="Normal1"/>
            <w:tabs>
              <w:tab w:val="clear" w:pos="720"/>
              <w:tab w:val="left" w:pos="1485" w:leader="none"/>
            </w:tabs>
            <w:jc w:val="right"/>
            <w:rPr>
              <w:rFonts w:ascii="Arial" w:hAnsi="Arial" w:eastAsia="Arial" w:cs="Arial"/>
              <w:b/>
              <w:b/>
            </w:rPr>
          </w:pPr>
          <w:r>
            <w:rPr>
              <w:rFonts w:eastAsia="Arial" w:cs="Arial" w:ascii="Arial" w:hAnsi="Arial"/>
              <w:sz w:val="14"/>
              <w:szCs w:val="14"/>
            </w:rPr>
            <w:t xml:space="preserve">Radicado: </w:t>
          </w:r>
          <w:r>
            <w:rPr>
              <w:rFonts w:eastAsia="Arial" w:cs="Arial" w:ascii="Arial" w:hAnsi="Arial"/>
              <w:b/>
            </w:rPr>
            <w:t>RAD_S</w:t>
          </w:r>
        </w:p>
        <w:p>
          <w:pPr>
            <w:pStyle w:val="Normal1"/>
            <w:tabs>
              <w:tab w:val="clear" w:pos="720"/>
              <w:tab w:val="left" w:pos="1485" w:leader="none"/>
            </w:tabs>
            <w:jc w:val="right"/>
            <w:rPr>
              <w:rFonts w:ascii="Arial" w:hAnsi="Arial" w:eastAsia="Arial" w:cs="Arial"/>
            </w:rPr>
          </w:pPr>
          <w:r>
            <w:rPr>
              <w:rFonts w:eastAsia="Arial" w:cs="Arial" w:ascii="Arial" w:hAnsi="Arial"/>
              <w:sz w:val="14"/>
              <w:szCs w:val="14"/>
            </w:rPr>
            <w:t xml:space="preserve">Fecha: </w:t>
          </w:r>
          <w:r>
            <w:rPr>
              <w:rFonts w:eastAsia="Arial" w:cs="Arial" w:ascii="Arial" w:hAnsi="Arial"/>
            </w:rPr>
            <w:t>F_RAD_S</w:t>
          </w:r>
        </w:p>
      </w:tc>
    </w:tr>
    <w:tr>
      <w:trPr/>
      <w:tc>
        <w:tcPr>
          <w:tcW w:w="8838"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1"/>
            <w:tabs>
              <w:tab w:val="clear" w:pos="720"/>
              <w:tab w:val="center" w:pos="4419" w:leader="none"/>
              <w:tab w:val="right" w:pos="8838" w:leader="none"/>
            </w:tabs>
            <w:jc w:val="center"/>
            <w:rPr>
              <w:color w:val="000000"/>
            </w:rPr>
          </w:pPr>
          <w:r>
            <w:rPr>
              <w:color w:val="000000"/>
            </w:rPr>
          </w:r>
        </w:p>
        <w:p>
          <w:pPr>
            <w:pStyle w:val="Normal1"/>
            <w:tabs>
              <w:tab w:val="clear" w:pos="720"/>
              <w:tab w:val="center" w:pos="4419" w:leader="none"/>
              <w:tab w:val="right" w:pos="8838" w:leader="none"/>
            </w:tabs>
            <w:rPr>
              <w:color w:val="000000"/>
            </w:rPr>
          </w:pPr>
          <w:r>
            <w:rPr>
              <w:color w:val="000000"/>
            </w:rPr>
          </w:r>
        </w:p>
        <w:p>
          <w:pPr>
            <w:pStyle w:val="Normal1"/>
            <w:tabs>
              <w:tab w:val="clear" w:pos="720"/>
              <w:tab w:val="center" w:pos="4419" w:leader="none"/>
              <w:tab w:val="right" w:pos="8838" w:leader="none"/>
            </w:tabs>
            <w:jc w:val="center"/>
            <w:rPr>
              <w:rFonts w:ascii="Arial" w:hAnsi="Arial" w:eastAsia="Arial" w:cs="Arial"/>
              <w:b/>
              <w:b/>
              <w:color w:val="000000"/>
            </w:rPr>
          </w:pPr>
          <w:r>
            <w:rPr>
              <w:rFonts w:eastAsia="Arial" w:cs="Arial" w:ascii="Arial" w:hAnsi="Arial"/>
              <w:b/>
              <w:color w:val="000000"/>
            </w:rPr>
            <w:t xml:space="preserve">        </w:t>
          </w:r>
          <w:r>
            <w:rPr>
              <w:rFonts w:eastAsia="Arial" w:cs="Arial" w:ascii="Arial" w:hAnsi="Arial"/>
              <w:b/>
              <w:color w:val="000000"/>
            </w:rPr>
            <w:t>RESOLUCIÓN No. XXX de 20</w:t>
          </w:r>
          <w:sdt>
            <w:sdtPr>
              <w:id w:val="2058267059"/>
            </w:sdtPr>
            <w:sdtContent>
              <w:r>
                <w:rPr>
                  <w:rFonts w:eastAsia="Arial" w:cs="Arial" w:ascii="Arial" w:hAnsi="Arial"/>
                  <w:b/>
                  <w:color w:val="000000"/>
                </w:rPr>
                <w:t>24</w:t>
              </w:r>
            </w:sdtContent>
          </w:sdt>
        </w:p>
        <w:p>
          <w:pPr>
            <w:pStyle w:val="Normal1"/>
            <w:tabs>
              <w:tab w:val="clear" w:pos="720"/>
              <w:tab w:val="left" w:pos="1485" w:leader="none"/>
            </w:tabs>
            <w:jc w:val="right"/>
            <w:rPr>
              <w:rFonts w:ascii="Code3of9" w:hAnsi="Code3of9" w:eastAsia="Code3of9" w:cs="Code3of9"/>
              <w:sz w:val="28"/>
              <w:szCs w:val="28"/>
            </w:rPr>
          </w:pPr>
          <w:r>
            <w:rPr>
              <w:rFonts w:eastAsia="Code3of9" w:cs="Code3of9" w:ascii="Code3of9" w:hAnsi="Code3of9"/>
              <w:sz w:val="28"/>
              <w:szCs w:val="28"/>
            </w:rPr>
          </w:r>
        </w:p>
      </w:tc>
    </w:tr>
  </w:tbl>
  <w:p>
    <w:pPr>
      <w:pStyle w:val="Normal1"/>
      <w:tabs>
        <w:tab w:val="clear" w:pos="720"/>
        <w:tab w:val="center" w:pos="4419" w:leader="none"/>
        <w:tab w:val="right" w:pos="8838" w:leader="none"/>
      </w:tabs>
      <w:jc w:val="center"/>
      <w:rPr>
        <w:rFonts w:ascii="Arial" w:hAnsi="Arial" w:eastAsia="Arial" w:cs="Arial"/>
        <w:color w:val="000000"/>
        <w:sz w:val="8"/>
        <w:szCs w:val="8"/>
      </w:rPr>
    </w:pPr>
    <w:r>
      <w:rPr>
        <w:rFonts w:eastAsia="Arial" w:cs="Arial" w:ascii="Arial" w:hAnsi="Arial"/>
        <w:color w:val="000000"/>
        <w:sz w:val="8"/>
        <w:szCs w:val="8"/>
      </w:rPr>
    </w:r>
  </w:p>
</w:hdr>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4"/>
        <w:szCs w:val="24"/>
        <w:lang w:val="es-CO"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Calibri" w:hAnsi="Calibri" w:eastAsia="Calibri" w:cs="Calibri"/>
      <w:color w:val="auto"/>
      <w:kern w:val="0"/>
      <w:sz w:val="24"/>
      <w:szCs w:val="24"/>
      <w:lang w:val="es-CO" w:eastAsia="zh-CN" w:bidi="hi-IN"/>
    </w:rPr>
  </w:style>
  <w:style w:type="paragraph" w:styleId="Ttulo1">
    <w:name w:val="Heading 1"/>
    <w:basedOn w:val="Normal1"/>
    <w:next w:val="Normal1"/>
    <w:uiPriority w:val="9"/>
    <w:qFormat/>
    <w:pPr>
      <w:keepNext w:val="true"/>
      <w:keepLines/>
      <w:spacing w:before="480" w:after="120"/>
      <w:outlineLvl w:val="0"/>
    </w:pPr>
    <w:rPr>
      <w:b/>
      <w:sz w:val="48"/>
      <w:szCs w:val="48"/>
    </w:rPr>
  </w:style>
  <w:style w:type="paragraph" w:styleId="Ttulo2">
    <w:name w:val="Heading 2"/>
    <w:basedOn w:val="Normal1"/>
    <w:next w:val="Normal1"/>
    <w:uiPriority w:val="9"/>
    <w:semiHidden/>
    <w:unhideWhenUsed/>
    <w:qFormat/>
    <w:pPr>
      <w:keepNext w:val="true"/>
      <w:keepLines/>
      <w:spacing w:before="360" w:after="80"/>
      <w:outlineLvl w:val="1"/>
    </w:pPr>
    <w:rPr>
      <w:b/>
      <w:sz w:val="36"/>
      <w:szCs w:val="36"/>
    </w:rPr>
  </w:style>
  <w:style w:type="paragraph" w:styleId="Ttulo3">
    <w:name w:val="Heading 3"/>
    <w:basedOn w:val="Normal1"/>
    <w:next w:val="Normal1"/>
    <w:uiPriority w:val="9"/>
    <w:semiHidden/>
    <w:unhideWhenUsed/>
    <w:qFormat/>
    <w:pPr>
      <w:keepNext w:val="true"/>
      <w:keepLines/>
      <w:spacing w:before="280" w:after="80"/>
      <w:outlineLvl w:val="2"/>
    </w:pPr>
    <w:rPr>
      <w:b/>
      <w:sz w:val="28"/>
      <w:szCs w:val="28"/>
    </w:rPr>
  </w:style>
  <w:style w:type="paragraph" w:styleId="Ttulo4">
    <w:name w:val="Heading 4"/>
    <w:basedOn w:val="Normal1"/>
    <w:next w:val="Normal1"/>
    <w:uiPriority w:val="9"/>
    <w:semiHidden/>
    <w:unhideWhenUsed/>
    <w:qFormat/>
    <w:pPr>
      <w:keepNext w:val="true"/>
      <w:keepLines/>
      <w:spacing w:before="240" w:after="40"/>
      <w:outlineLvl w:val="3"/>
    </w:pPr>
    <w:rPr>
      <w:b/>
    </w:rPr>
  </w:style>
  <w:style w:type="paragraph" w:styleId="Ttulo5">
    <w:name w:val="Heading 5"/>
    <w:basedOn w:val="Normal1"/>
    <w:next w:val="Normal1"/>
    <w:uiPriority w:val="9"/>
    <w:semiHidden/>
    <w:unhideWhenUsed/>
    <w:qFormat/>
    <w:pPr>
      <w:keepNext w:val="true"/>
      <w:keepLines/>
      <w:spacing w:before="220" w:after="40"/>
      <w:outlineLvl w:val="4"/>
    </w:pPr>
    <w:rPr>
      <w:b/>
      <w:sz w:val="22"/>
      <w:szCs w:val="22"/>
    </w:rPr>
  </w:style>
  <w:style w:type="paragraph" w:styleId="Ttulo6">
    <w:name w:val="Heading 6"/>
    <w:basedOn w:val="Normal1"/>
    <w:next w:val="Normal1"/>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834d5b"/>
    <w:rPr/>
  </w:style>
  <w:style w:type="character" w:styleId="PiedepginaCar" w:customStyle="1">
    <w:name w:val="Pie de página Car"/>
    <w:basedOn w:val="DefaultParagraphFont"/>
    <w:link w:val="Piedepgina"/>
    <w:uiPriority w:val="99"/>
    <w:qFormat/>
    <w:rsid w:val="00834d5b"/>
    <w:rPr/>
  </w:style>
  <w:style w:type="character" w:styleId="EnlacedeInternet">
    <w:name w:val="Enlace de Internet"/>
    <w:basedOn w:val="DefaultParagraphFont"/>
    <w:uiPriority w:val="99"/>
    <w:unhideWhenUsed/>
    <w:rsid w:val="0085196f"/>
    <w:rPr>
      <w:color w:val="0000FF" w:themeColor="hyperlink"/>
      <w:u w:val="single"/>
    </w:rPr>
  </w:style>
  <w:style w:type="character" w:styleId="FollowedHyperlink">
    <w:name w:val="FollowedHyperlink"/>
    <w:basedOn w:val="DefaultParagraphFont"/>
    <w:uiPriority w:val="99"/>
    <w:semiHidden/>
    <w:unhideWhenUsed/>
    <w:qFormat/>
    <w:rsid w:val="0085196f"/>
    <w:rPr>
      <w:color w:val="800080" w:themeColor="followedHyperlink"/>
      <w:u w:val="single"/>
    </w:rPr>
  </w:style>
  <w:style w:type="character" w:styleId="TextodegloboCar" w:customStyle="1">
    <w:name w:val="Texto de globo Car"/>
    <w:basedOn w:val="DefaultParagraphFont"/>
    <w:link w:val="Textodeglobo"/>
    <w:uiPriority w:val="99"/>
    <w:semiHidden/>
    <w:qFormat/>
    <w:rsid w:val="004148fb"/>
    <w:rPr>
      <w:rFonts w:ascii="Times New Roman" w:hAnsi="Times New Roman" w:cs="Times New Roman"/>
      <w:sz w:val="18"/>
      <w:szCs w:val="18"/>
    </w:rPr>
  </w:style>
  <w:style w:type="character" w:styleId="Annotationreference">
    <w:name w:val="annotation reference"/>
    <w:basedOn w:val="DefaultParagraphFont"/>
    <w:uiPriority w:val="99"/>
    <w:semiHidden/>
    <w:unhideWhenUsed/>
    <w:qFormat/>
    <w:rsid w:val="00a2161d"/>
    <w:rPr>
      <w:sz w:val="18"/>
      <w:szCs w:val="18"/>
    </w:rPr>
  </w:style>
  <w:style w:type="character" w:styleId="TextocomentarioCar" w:customStyle="1">
    <w:name w:val="Texto comentario Car"/>
    <w:basedOn w:val="DefaultParagraphFont"/>
    <w:link w:val="Textocomentario"/>
    <w:uiPriority w:val="99"/>
    <w:semiHidden/>
    <w:qFormat/>
    <w:rsid w:val="00a2161d"/>
    <w:rPr/>
  </w:style>
  <w:style w:type="character" w:styleId="AsuntodelcomentarioCar" w:customStyle="1">
    <w:name w:val="Asunto del comentario Car"/>
    <w:basedOn w:val="TextocomentarioCar"/>
    <w:link w:val="Asuntodelcomentario"/>
    <w:uiPriority w:val="99"/>
    <w:semiHidden/>
    <w:qFormat/>
    <w:rsid w:val="00a2161d"/>
    <w:rPr>
      <w:b/>
      <w:bCs/>
      <w:sz w:val="20"/>
      <w:szCs w:val="20"/>
    </w:rPr>
  </w:style>
  <w:style w:type="character" w:styleId="Linenumber">
    <w:name w:val="line number"/>
    <w:qFormat/>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Arial"/>
    </w:rPr>
  </w:style>
  <w:style w:type="paragraph" w:styleId="Titular">
    <w:name w:val="Title"/>
    <w:basedOn w:val="Normal1"/>
    <w:next w:val="Cuerpodetexto"/>
    <w:uiPriority w:val="10"/>
    <w:qFormat/>
    <w:pPr>
      <w:keepNext w:val="true"/>
      <w:keepLines/>
      <w:spacing w:before="480" w:after="120"/>
    </w:pPr>
    <w:rPr>
      <w:b/>
      <w:sz w:val="72"/>
      <w:szCs w:val="72"/>
    </w:rPr>
  </w:style>
  <w:style w:type="paragraph" w:styleId="Caption">
    <w:name w:val="caption"/>
    <w:basedOn w:val="Normal"/>
    <w:qFormat/>
    <w:pPr>
      <w:suppressLineNumbers/>
      <w:spacing w:before="120" w:after="120"/>
    </w:pPr>
    <w:rPr>
      <w:rFonts w:cs="Arial"/>
      <w:i/>
      <w:iCs/>
    </w:rPr>
  </w:style>
  <w:style w:type="paragraph" w:styleId="Normal1" w:customStyle="1">
    <w:name w:val="normal1"/>
    <w:qFormat/>
    <w:pPr>
      <w:widowControl/>
      <w:suppressAutoHyphens w:val="true"/>
      <w:bidi w:val="0"/>
      <w:spacing w:before="0" w:after="0"/>
      <w:jc w:val="left"/>
    </w:pPr>
    <w:rPr>
      <w:rFonts w:ascii="Calibri" w:hAnsi="Calibri" w:eastAsia="Calibri" w:cs="Calibri"/>
      <w:color w:val="auto"/>
      <w:kern w:val="0"/>
      <w:sz w:val="24"/>
      <w:szCs w:val="24"/>
      <w:lang w:val="es-CO" w:eastAsia="zh-CN" w:bidi="hi-IN"/>
    </w:rPr>
  </w:style>
  <w:style w:type="paragraph" w:styleId="Subttulo">
    <w:name w:val="Subtitle"/>
    <w:basedOn w:val="Normal1"/>
    <w:next w:val="Normal1"/>
    <w:uiPriority w:val="11"/>
    <w:qFormat/>
    <w:pPr>
      <w:keepNext w:val="true"/>
      <w:keepLines/>
      <w:spacing w:before="360" w:after="80"/>
    </w:pPr>
    <w:rPr>
      <w:rFonts w:ascii="Georgia" w:hAnsi="Georgia" w:eastAsia="Georgia" w:cs="Georgia"/>
      <w:i/>
      <w:color w:val="666666"/>
      <w:sz w:val="48"/>
      <w:szCs w:val="48"/>
    </w:rPr>
  </w:style>
  <w:style w:type="paragraph" w:styleId="Cabeceraypie" w:customStyle="1">
    <w:name w:val="Cabecera y pie"/>
    <w:basedOn w:val="Normal"/>
    <w:qFormat/>
    <w:pPr/>
    <w:rPr/>
  </w:style>
  <w:style w:type="paragraph" w:styleId="Cabecera">
    <w:name w:val="Header"/>
    <w:basedOn w:val="Normal1"/>
    <w:link w:val="EncabezadoCar"/>
    <w:unhideWhenUsed/>
    <w:qFormat/>
    <w:rsid w:val="00834d5b"/>
    <w:pPr>
      <w:tabs>
        <w:tab w:val="clear" w:pos="720"/>
        <w:tab w:val="center" w:pos="4419" w:leader="none"/>
        <w:tab w:val="right" w:pos="8838" w:leader="none"/>
      </w:tabs>
    </w:pPr>
    <w:rPr/>
  </w:style>
  <w:style w:type="paragraph" w:styleId="Piedepgina">
    <w:name w:val="Footer"/>
    <w:basedOn w:val="Normal1"/>
    <w:link w:val="PiedepginaCar"/>
    <w:uiPriority w:val="99"/>
    <w:unhideWhenUsed/>
    <w:rsid w:val="00834d5b"/>
    <w:pPr>
      <w:tabs>
        <w:tab w:val="clear" w:pos="720"/>
        <w:tab w:val="center" w:pos="4419" w:leader="none"/>
        <w:tab w:val="right" w:pos="8838" w:leader="none"/>
      </w:tabs>
    </w:pPr>
    <w:rPr/>
  </w:style>
  <w:style w:type="paragraph" w:styleId="BalloonText">
    <w:name w:val="Balloon Text"/>
    <w:basedOn w:val="Normal1"/>
    <w:link w:val="TextodegloboCar"/>
    <w:uiPriority w:val="99"/>
    <w:semiHidden/>
    <w:unhideWhenUsed/>
    <w:qFormat/>
    <w:rsid w:val="004148fb"/>
    <w:pPr/>
    <w:rPr>
      <w:rFonts w:ascii="Times New Roman" w:hAnsi="Times New Roman" w:cs="Times New Roman"/>
      <w:sz w:val="18"/>
      <w:szCs w:val="18"/>
    </w:rPr>
  </w:style>
  <w:style w:type="paragraph" w:styleId="Annotationtext">
    <w:name w:val="annotation text"/>
    <w:basedOn w:val="Normal1"/>
    <w:link w:val="TextocomentarioCar"/>
    <w:uiPriority w:val="99"/>
    <w:semiHidden/>
    <w:unhideWhenUsed/>
    <w:qFormat/>
    <w:rsid w:val="00a2161d"/>
    <w:pPr/>
    <w:rPr/>
  </w:style>
  <w:style w:type="paragraph" w:styleId="Annotationsubject">
    <w:name w:val="annotation subject"/>
    <w:basedOn w:val="Annotationtext"/>
    <w:next w:val="Annotationtext"/>
    <w:link w:val="AsuntodelcomentarioCar"/>
    <w:uiPriority w:val="99"/>
    <w:semiHidden/>
    <w:unhideWhenUsed/>
    <w:qFormat/>
    <w:rsid w:val="00a2161d"/>
    <w:pPr/>
    <w:rPr>
      <w:b/>
      <w:bCs/>
      <w:sz w:val="20"/>
      <w:szCs w:val="20"/>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Tablaconcuadrcula">
    <w:name w:val="Table Grid"/>
    <w:basedOn w:val="Tablanormal"/>
    <w:uiPriority w:val="39"/>
    <w:rsid w:val="0085196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
</Relationships>
</file>

<file path=word/_rels/footer1.xml.rels><?xml version="1.0" encoding="UTF-8"?>
<Relationships xmlns="http://schemas.openxmlformats.org/package/2006/relationships"><Relationship Id="rId1" Type="http://schemas.openxmlformats.org/officeDocument/2006/relationships/hyperlink" Target="http://www.culturarecreacionydeporte.gov.co/" TargetMode="External"/><Relationship Id="rId2"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tint val="100000"/>
                <a:shade val="100000"/>
              </a:schemeClr>
            </a:gs>
            <a:gs pos="100000">
              <a:schemeClr val="phClr">
                <a:tint val="50000"/>
                <a:shade val="100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roundtripDataSignature="AMtx7mgo6SxuEiPj6fzSWJ64VoPBERvlYw==">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</go:docsCustomData>
</go:gDocsCustomXmlDataStorage>
</file>

<file path=customXml/itemProps1.xml><?xml version="1.0" encoding="utf-8"?>
<ds:datastoreItem xmlns:ds="http://schemas.openxmlformats.org/officeDocument/2006/customXml" ds:itemID="{48DD6C3F-3B1C-42C6-9169-E17E4A3EBD2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Application>LibreOffice/6.3.6.2$Windows_X86_64 LibreOffice_project/2196df99b074d8a661f4036fca8fa0cbfa33a497</Application>
  <Pages>7</Pages>
  <Words>1835</Words>
  <Characters>10093</Characters>
  <CharactersWithSpaces>11905</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2024-06-20T16:09:00Z</dcterms:created>
  <dc:creator>Gestión de Mejora Contínua</dc:creator>
  <dc:description/>
  <dc:language>es-CO</dc:language>
  <cp:lastModifiedBy>Lia Margarita Cabarcas Romero</cp:lastModifiedBy>
  <dcterms:modified xsi:type="dcterms:W3CDTF">2024-06-20T16:09:00Z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